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1"/>
        <w:gridCol w:w="672"/>
        <w:gridCol w:w="4961"/>
        <w:gridCol w:w="2241"/>
        <w:gridCol w:w="1149"/>
        <w:gridCol w:w="12"/>
      </w:tblGrid>
      <w:tr w:rsidR="00242242" w14:paraId="0BB6CB71" w14:textId="77777777" w:rsidTr="00094290">
        <w:trPr>
          <w:gridAfter w:val="1"/>
          <w:wAfter w:w="12" w:type="dxa"/>
          <w:trHeight w:val="883"/>
          <w:jc w:val="center"/>
        </w:trPr>
        <w:tc>
          <w:tcPr>
            <w:tcW w:w="1171" w:type="dxa"/>
            <w:vMerge w:val="restart"/>
          </w:tcPr>
          <w:p w14:paraId="108E9DD5" w14:textId="7EA76B1D" w:rsidR="00242242" w:rsidRDefault="00242242" w:rsidP="00C512E5">
            <w:pPr>
              <w:pStyle w:val="Heading2"/>
              <w:keepNext w:val="0"/>
              <w:keepLines w:val="0"/>
              <w:widowControl w:val="0"/>
              <w:spacing w:before="0" w:line="240" w:lineRule="auto"/>
              <w:jc w:val="center"/>
              <w:rPr>
                <w:rFonts w:ascii="Bookman Old Style" w:hAnsi="Bookman Old Style" w:cstheme="minorHAnsi"/>
                <w:b/>
                <w:bCs/>
                <w:sz w:val="24"/>
                <w:szCs w:val="24"/>
              </w:rPr>
            </w:pPr>
            <w:r w:rsidRPr="00281255">
              <w:rPr>
                <w:rFonts w:ascii="Bookman Old Style" w:hAnsi="Bookman Old Style"/>
                <w:noProof/>
                <w:color w:val="000000" w:themeColor="text1"/>
              </w:rPr>
              <w:drawing>
                <wp:inline distT="0" distB="0" distL="0" distR="0" wp14:anchorId="77C53928" wp14:editId="642EBD06">
                  <wp:extent cx="685800" cy="773973"/>
                  <wp:effectExtent l="0" t="0" r="0" b="7620"/>
                  <wp:docPr id="19" name="Picture 18" descr="Logo&#10;&#10;Description automatically generated with medium confidence">
                    <a:extLst xmlns:a="http://schemas.openxmlformats.org/drawingml/2006/main">
                      <a:ext uri="{FF2B5EF4-FFF2-40B4-BE49-F238E27FC236}">
                        <a16:creationId xmlns:a16="http://schemas.microsoft.com/office/drawing/2014/main" id="{C639BAA7-FB88-4157-8AF8-6CDB06AA97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Logo&#10;&#10;Description automatically generated with medium confidence">
                            <a:extLst>
                              <a:ext uri="{FF2B5EF4-FFF2-40B4-BE49-F238E27FC236}">
                                <a16:creationId xmlns:a16="http://schemas.microsoft.com/office/drawing/2014/main" id="{C639BAA7-FB88-4157-8AF8-6CDB06AA97D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773973"/>
                          </a:xfrm>
                          <a:prstGeom prst="rect">
                            <a:avLst/>
                          </a:prstGeom>
                        </pic:spPr>
                      </pic:pic>
                    </a:graphicData>
                  </a:graphic>
                </wp:inline>
              </w:drawing>
            </w:r>
          </w:p>
        </w:tc>
        <w:tc>
          <w:tcPr>
            <w:tcW w:w="7874" w:type="dxa"/>
            <w:gridSpan w:val="3"/>
            <w:vMerge w:val="restart"/>
          </w:tcPr>
          <w:p w14:paraId="117F1CC9" w14:textId="481EF239" w:rsidR="00655064" w:rsidRPr="00094290" w:rsidRDefault="00655064" w:rsidP="001F36CE">
            <w:pPr>
              <w:jc w:val="center"/>
              <w:rPr>
                <w:rFonts w:ascii="Bookman Old Style" w:hAnsi="Bookman Old Style"/>
                <w:b/>
                <w:bCs/>
                <w:color w:val="1F3864" w:themeColor="accent1" w:themeShade="80"/>
                <w:w w:val="95"/>
                <w:sz w:val="24"/>
                <w:szCs w:val="24"/>
                <w:lang w:eastAsia="en-GB"/>
              </w:rPr>
            </w:pPr>
            <w:r w:rsidRPr="00094290">
              <w:rPr>
                <w:rFonts w:ascii="Bookman Old Style" w:hAnsi="Bookman Old Style"/>
                <w:b/>
                <w:bCs/>
                <w:color w:val="1F3864" w:themeColor="accent1" w:themeShade="80"/>
                <w:w w:val="95"/>
                <w:sz w:val="24"/>
                <w:szCs w:val="24"/>
                <w:lang w:eastAsia="en-GB"/>
              </w:rPr>
              <w:t xml:space="preserve">Call for Papers </w:t>
            </w:r>
            <w:r w:rsidR="004A0ECA" w:rsidRPr="00094290">
              <w:rPr>
                <w:rFonts w:ascii="Bookman Old Style" w:hAnsi="Bookman Old Style"/>
                <w:b/>
                <w:bCs/>
                <w:color w:val="1F3864" w:themeColor="accent1" w:themeShade="80"/>
                <w:w w:val="95"/>
                <w:sz w:val="24"/>
                <w:szCs w:val="24"/>
                <w:lang w:eastAsia="en-GB"/>
              </w:rPr>
              <w:t xml:space="preserve">extended </w:t>
            </w:r>
            <w:r w:rsidRPr="00094290">
              <w:rPr>
                <w:rFonts w:ascii="Bookman Old Style" w:hAnsi="Bookman Old Style"/>
                <w:b/>
                <w:bCs/>
                <w:color w:val="1F3864" w:themeColor="accent1" w:themeShade="80"/>
                <w:w w:val="95"/>
                <w:sz w:val="24"/>
                <w:szCs w:val="24"/>
                <w:lang w:eastAsia="en-GB"/>
              </w:rPr>
              <w:t>until 1</w:t>
            </w:r>
            <w:r w:rsidR="00744C53" w:rsidRPr="00094290">
              <w:rPr>
                <w:rFonts w:ascii="Bookman Old Style" w:hAnsi="Bookman Old Style"/>
                <w:b/>
                <w:bCs/>
                <w:color w:val="1F3864" w:themeColor="accent1" w:themeShade="80"/>
                <w:w w:val="95"/>
                <w:sz w:val="24"/>
                <w:szCs w:val="24"/>
                <w:lang w:eastAsia="en-GB"/>
              </w:rPr>
              <w:t>6</w:t>
            </w:r>
            <w:r w:rsidRPr="00094290">
              <w:rPr>
                <w:rFonts w:ascii="Bookman Old Style" w:hAnsi="Bookman Old Style"/>
                <w:b/>
                <w:bCs/>
                <w:color w:val="1F3864" w:themeColor="accent1" w:themeShade="80"/>
                <w:w w:val="95"/>
                <w:sz w:val="24"/>
                <w:szCs w:val="24"/>
                <w:lang w:eastAsia="en-GB"/>
              </w:rPr>
              <w:t xml:space="preserve"> January 2026</w:t>
            </w:r>
          </w:p>
          <w:p w14:paraId="7294180D" w14:textId="5EA5962D" w:rsidR="001F36CE" w:rsidRPr="00094290" w:rsidRDefault="00BC0DD8" w:rsidP="00655064">
            <w:pPr>
              <w:spacing w:before="120"/>
              <w:jc w:val="center"/>
              <w:rPr>
                <w:rFonts w:ascii="Bookman Old Style" w:hAnsi="Bookman Old Style"/>
                <w:b/>
                <w:bCs/>
                <w:color w:val="2F5496" w:themeColor="accent1" w:themeShade="BF"/>
                <w:w w:val="95"/>
                <w:sz w:val="24"/>
                <w:szCs w:val="24"/>
                <w:lang w:eastAsia="en-GB"/>
              </w:rPr>
            </w:pPr>
            <w:r w:rsidRPr="00094290">
              <w:rPr>
                <w:rFonts w:ascii="Bookman Old Style" w:hAnsi="Bookman Old Style"/>
                <w:b/>
                <w:bCs/>
                <w:color w:val="2F5496" w:themeColor="accent1" w:themeShade="BF"/>
                <w:w w:val="95"/>
                <w:sz w:val="24"/>
                <w:szCs w:val="24"/>
                <w:lang w:eastAsia="en-GB"/>
              </w:rPr>
              <w:t>A</w:t>
            </w:r>
            <w:r w:rsidR="00CF03EA" w:rsidRPr="00094290">
              <w:rPr>
                <w:rFonts w:ascii="Bookman Old Style" w:hAnsi="Bookman Old Style"/>
                <w:b/>
                <w:bCs/>
                <w:color w:val="2F5496" w:themeColor="accent1" w:themeShade="BF"/>
                <w:w w:val="95"/>
                <w:sz w:val="24"/>
                <w:szCs w:val="24"/>
                <w:lang w:eastAsia="en-GB"/>
              </w:rPr>
              <w:t>ftermath of the 1956 Suez crisis</w:t>
            </w:r>
            <w:r w:rsidR="001F36CE" w:rsidRPr="00094290">
              <w:rPr>
                <w:rFonts w:ascii="Bookman Old Style" w:hAnsi="Bookman Old Style"/>
                <w:b/>
                <w:bCs/>
                <w:color w:val="2F5496" w:themeColor="accent1" w:themeShade="BF"/>
                <w:w w:val="95"/>
                <w:sz w:val="24"/>
                <w:szCs w:val="24"/>
                <w:lang w:eastAsia="en-GB"/>
              </w:rPr>
              <w:t xml:space="preserve">: </w:t>
            </w:r>
            <w:r w:rsidR="00EF7C6C" w:rsidRPr="00094290">
              <w:rPr>
                <w:rFonts w:ascii="Bookman Old Style" w:hAnsi="Bookman Old Style"/>
                <w:b/>
                <w:bCs/>
                <w:color w:val="2F5496" w:themeColor="accent1" w:themeShade="BF"/>
                <w:w w:val="95"/>
                <w:sz w:val="24"/>
                <w:szCs w:val="24"/>
                <w:lang w:eastAsia="en-GB"/>
              </w:rPr>
              <w:t xml:space="preserve">Global </w:t>
            </w:r>
            <w:r w:rsidR="001F36CE" w:rsidRPr="00094290">
              <w:rPr>
                <w:rFonts w:ascii="Bookman Old Style" w:hAnsi="Bookman Old Style"/>
                <w:b/>
                <w:bCs/>
                <w:color w:val="2F5496" w:themeColor="accent1" w:themeShade="BF"/>
                <w:w w:val="95"/>
                <w:sz w:val="24"/>
                <w:szCs w:val="24"/>
                <w:lang w:eastAsia="en-GB"/>
              </w:rPr>
              <w:t>Ramifications and Reflections for Dockyards and Shipyards</w:t>
            </w:r>
          </w:p>
          <w:p w14:paraId="4D51DDA1" w14:textId="3BB9B8BE" w:rsidR="00463462" w:rsidRPr="00094290" w:rsidRDefault="00242242" w:rsidP="000E74C2">
            <w:pPr>
              <w:pStyle w:val="Default"/>
              <w:spacing w:before="120"/>
              <w:jc w:val="center"/>
              <w:rPr>
                <w:rFonts w:ascii="Bookman Old Style" w:hAnsi="Bookman Old Style"/>
                <w:b/>
                <w:color w:val="1F3864" w:themeColor="accent1" w:themeShade="80"/>
                <w:w w:val="95"/>
              </w:rPr>
            </w:pPr>
            <w:r w:rsidRPr="00094290">
              <w:rPr>
                <w:rFonts w:ascii="Bookman Old Style" w:hAnsi="Bookman Old Style"/>
                <w:b/>
                <w:bCs/>
                <w:color w:val="1F3864" w:themeColor="accent1" w:themeShade="80"/>
                <w:w w:val="95"/>
              </w:rPr>
              <w:t xml:space="preserve">Naval Dockyards Society </w:t>
            </w:r>
            <w:r w:rsidR="00463462" w:rsidRPr="00094290">
              <w:rPr>
                <w:rFonts w:ascii="Bookman Old Style" w:hAnsi="Bookman Old Style"/>
                <w:b/>
                <w:bCs/>
                <w:color w:val="1F3864" w:themeColor="accent1" w:themeShade="80"/>
                <w:w w:val="95"/>
              </w:rPr>
              <w:t>30</w:t>
            </w:r>
            <w:r w:rsidR="00B0314D" w:rsidRPr="00094290">
              <w:rPr>
                <w:rFonts w:ascii="Bookman Old Style" w:hAnsi="Bookman Old Style"/>
                <w:b/>
                <w:bCs/>
                <w:color w:val="1F3864" w:themeColor="accent1" w:themeShade="80"/>
                <w:w w:val="95"/>
                <w:vertAlign w:val="superscript"/>
              </w:rPr>
              <w:t>th</w:t>
            </w:r>
            <w:r w:rsidR="00B0314D" w:rsidRPr="00094290">
              <w:rPr>
                <w:rFonts w:ascii="Bookman Old Style" w:hAnsi="Bookman Old Style"/>
                <w:b/>
                <w:bCs/>
                <w:color w:val="1F3864" w:themeColor="accent1" w:themeShade="80"/>
                <w:w w:val="95"/>
              </w:rPr>
              <w:t xml:space="preserve"> Annual</w:t>
            </w:r>
            <w:r w:rsidRPr="00094290">
              <w:rPr>
                <w:rFonts w:ascii="Bookman Old Style" w:hAnsi="Bookman Old Style"/>
                <w:b/>
                <w:bCs/>
                <w:color w:val="1F3864" w:themeColor="accent1" w:themeShade="80"/>
                <w:w w:val="95"/>
              </w:rPr>
              <w:t xml:space="preserve"> Conference</w:t>
            </w:r>
            <w:bookmarkStart w:id="0" w:name="_Hlk148348278"/>
            <w:r w:rsidR="00C1390B" w:rsidRPr="00094290">
              <w:rPr>
                <w:rFonts w:ascii="Bookman Old Style" w:hAnsi="Bookman Old Style"/>
                <w:b/>
                <w:bCs/>
                <w:color w:val="1F3864" w:themeColor="accent1" w:themeShade="80"/>
                <w:w w:val="95"/>
              </w:rPr>
              <w:t xml:space="preserve"> (hybrid)</w:t>
            </w:r>
          </w:p>
          <w:p w14:paraId="13B647DC" w14:textId="071BB741" w:rsidR="00242242" w:rsidRPr="00094290" w:rsidRDefault="00463462" w:rsidP="004A4546">
            <w:pPr>
              <w:pStyle w:val="Default"/>
              <w:jc w:val="center"/>
              <w:rPr>
                <w:rFonts w:ascii="Bookman Old Style" w:hAnsi="Bookman Old Style"/>
                <w:b/>
                <w:bCs/>
                <w:color w:val="1F3864" w:themeColor="accent1" w:themeShade="80"/>
                <w:w w:val="95"/>
              </w:rPr>
            </w:pPr>
            <w:r w:rsidRPr="00094290">
              <w:rPr>
                <w:rFonts w:ascii="Bookman Old Style" w:hAnsi="Bookman Old Style"/>
                <w:b/>
                <w:color w:val="1F3864" w:themeColor="accent1" w:themeShade="80"/>
                <w:w w:val="95"/>
              </w:rPr>
              <w:t>National Maritime Museum</w:t>
            </w:r>
            <w:r w:rsidR="00B0314D" w:rsidRPr="00094290">
              <w:rPr>
                <w:rFonts w:ascii="Bookman Old Style" w:hAnsi="Bookman Old Style"/>
                <w:b/>
                <w:color w:val="1F3864" w:themeColor="accent1" w:themeShade="80"/>
                <w:w w:val="95"/>
              </w:rPr>
              <w:t xml:space="preserve"> Greenwich</w:t>
            </w:r>
            <w:r w:rsidR="00C02E35" w:rsidRPr="00094290">
              <w:rPr>
                <w:rFonts w:ascii="Bookman Old Style" w:hAnsi="Bookman Old Style"/>
                <w:b/>
                <w:color w:val="1F3864" w:themeColor="accent1" w:themeShade="80"/>
                <w:w w:val="95"/>
              </w:rPr>
              <w:t xml:space="preserve"> Saturday</w:t>
            </w:r>
            <w:r w:rsidR="00B0314D" w:rsidRPr="00094290">
              <w:rPr>
                <w:rFonts w:ascii="Bookman Old Style" w:hAnsi="Bookman Old Style"/>
                <w:b/>
                <w:color w:val="1F3864" w:themeColor="accent1" w:themeShade="80"/>
                <w:w w:val="95"/>
              </w:rPr>
              <w:t xml:space="preserve"> </w:t>
            </w:r>
            <w:r w:rsidRPr="00094290">
              <w:rPr>
                <w:rFonts w:ascii="Bookman Old Style" w:hAnsi="Bookman Old Style"/>
                <w:b/>
                <w:color w:val="1F3864" w:themeColor="accent1" w:themeShade="80"/>
                <w:w w:val="95"/>
              </w:rPr>
              <w:t xml:space="preserve">28 </w:t>
            </w:r>
            <w:r w:rsidR="00242242" w:rsidRPr="00094290">
              <w:rPr>
                <w:rFonts w:ascii="Bookman Old Style" w:hAnsi="Bookman Old Style"/>
                <w:b/>
                <w:color w:val="1F3864" w:themeColor="accent1" w:themeShade="80"/>
                <w:w w:val="95"/>
              </w:rPr>
              <w:t>Ma</w:t>
            </w:r>
            <w:r w:rsidR="00B0314D" w:rsidRPr="00094290">
              <w:rPr>
                <w:rFonts w:ascii="Bookman Old Style" w:hAnsi="Bookman Old Style"/>
                <w:b/>
                <w:color w:val="1F3864" w:themeColor="accent1" w:themeShade="80"/>
                <w:w w:val="95"/>
              </w:rPr>
              <w:t>rc</w:t>
            </w:r>
            <w:r w:rsidRPr="00094290">
              <w:rPr>
                <w:rFonts w:ascii="Bookman Old Style" w:hAnsi="Bookman Old Style"/>
                <w:b/>
                <w:color w:val="1F3864" w:themeColor="accent1" w:themeShade="80"/>
                <w:w w:val="95"/>
              </w:rPr>
              <w:t>h</w:t>
            </w:r>
            <w:r w:rsidR="00242242" w:rsidRPr="00094290">
              <w:rPr>
                <w:rFonts w:ascii="Bookman Old Style" w:hAnsi="Bookman Old Style"/>
                <w:b/>
                <w:color w:val="1F3864" w:themeColor="accent1" w:themeShade="80"/>
                <w:w w:val="95"/>
              </w:rPr>
              <w:t xml:space="preserve"> 202</w:t>
            </w:r>
            <w:r w:rsidRPr="00094290">
              <w:rPr>
                <w:rFonts w:ascii="Bookman Old Style" w:hAnsi="Bookman Old Style"/>
                <w:b/>
                <w:color w:val="1F3864" w:themeColor="accent1" w:themeShade="80"/>
                <w:w w:val="95"/>
              </w:rPr>
              <w:t>6</w:t>
            </w:r>
          </w:p>
          <w:bookmarkEnd w:id="0"/>
          <w:p w14:paraId="4A49B3C5" w14:textId="6BA9BC41" w:rsidR="00242242" w:rsidRPr="009F5DB4" w:rsidRDefault="00242242" w:rsidP="00094290">
            <w:pPr>
              <w:spacing w:before="120" w:after="120"/>
              <w:jc w:val="center"/>
              <w:rPr>
                <w:rFonts w:ascii="Bookman Old Style" w:eastAsia="Times New Roman" w:hAnsi="Bookman Old Style" w:cstheme="minorHAnsi"/>
                <w:b/>
                <w:bCs/>
                <w:smallCaps/>
                <w:color w:val="000000" w:themeColor="text1"/>
                <w:sz w:val="24"/>
                <w:szCs w:val="24"/>
                <w:lang w:eastAsia="en-GB"/>
              </w:rPr>
            </w:pPr>
            <w:r w:rsidRPr="00094290">
              <w:rPr>
                <w:rFonts w:ascii="Bookman Old Style" w:eastAsia="Times New Roman" w:hAnsi="Bookman Old Style" w:cstheme="minorHAnsi"/>
                <w:b/>
                <w:color w:val="2F5496" w:themeColor="accent1" w:themeShade="BF"/>
                <w:w w:val="95"/>
                <w:sz w:val="24"/>
                <w:szCs w:val="24"/>
                <w:lang w:eastAsia="en-GB"/>
              </w:rPr>
              <w:t>Sponsored by the Society for Nautical Research</w:t>
            </w:r>
          </w:p>
        </w:tc>
        <w:tc>
          <w:tcPr>
            <w:tcW w:w="1149" w:type="dxa"/>
          </w:tcPr>
          <w:p w14:paraId="088259AC" w14:textId="0AAB072F" w:rsidR="00242242" w:rsidRDefault="006B69F2" w:rsidP="00242242">
            <w:pPr>
              <w:pStyle w:val="Heading2"/>
              <w:keepNext w:val="0"/>
              <w:keepLines w:val="0"/>
              <w:widowControl w:val="0"/>
              <w:spacing w:before="0" w:line="240" w:lineRule="auto"/>
              <w:jc w:val="both"/>
              <w:rPr>
                <w:rFonts w:ascii="Bookman Old Style" w:hAnsi="Bookman Old Style" w:cstheme="minorHAnsi"/>
                <w:b/>
                <w:bCs/>
                <w:sz w:val="24"/>
                <w:szCs w:val="24"/>
              </w:rPr>
            </w:pPr>
            <w:r w:rsidRPr="00281255">
              <w:rPr>
                <w:rFonts w:ascii="Bookman Old Style" w:hAnsi="Bookman Old Style"/>
                <w:noProof/>
                <w:color w:val="000000" w:themeColor="text1"/>
              </w:rPr>
              <w:drawing>
                <wp:inline distT="0" distB="0" distL="0" distR="0" wp14:anchorId="5E3F49C6" wp14:editId="3CFE1782">
                  <wp:extent cx="653236" cy="605307"/>
                  <wp:effectExtent l="0" t="0" r="0" b="4445"/>
                  <wp:docPr id="21" name="Picture 20">
                    <a:extLst xmlns:a="http://schemas.openxmlformats.org/drawingml/2006/main">
                      <a:ext uri="{FF2B5EF4-FFF2-40B4-BE49-F238E27FC236}">
                        <a16:creationId xmlns:a16="http://schemas.microsoft.com/office/drawing/2014/main" id="{E1BC95D4-C77D-437B-BC6C-2AFD969AC5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E1BC95D4-C77D-437B-BC6C-2AFD969AC5F8}"/>
                              </a:ext>
                            </a:extLst>
                          </pic:cNvPr>
                          <pic:cNvPicPr>
                            <a:picLocks noChangeAspect="1"/>
                          </pic:cNvPicPr>
                        </pic:nvPicPr>
                        <pic:blipFill>
                          <a:blip r:embed="rId9"/>
                          <a:stretch>
                            <a:fillRect/>
                          </a:stretch>
                        </pic:blipFill>
                        <pic:spPr>
                          <a:xfrm>
                            <a:off x="0" y="0"/>
                            <a:ext cx="654008" cy="606023"/>
                          </a:xfrm>
                          <a:prstGeom prst="rect">
                            <a:avLst/>
                          </a:prstGeom>
                        </pic:spPr>
                      </pic:pic>
                    </a:graphicData>
                  </a:graphic>
                </wp:inline>
              </w:drawing>
            </w:r>
          </w:p>
        </w:tc>
      </w:tr>
      <w:tr w:rsidR="00242242" w14:paraId="2F059CC0" w14:textId="77777777" w:rsidTr="00094290">
        <w:trPr>
          <w:gridAfter w:val="1"/>
          <w:wAfter w:w="12" w:type="dxa"/>
          <w:trHeight w:val="577"/>
          <w:jc w:val="center"/>
        </w:trPr>
        <w:tc>
          <w:tcPr>
            <w:tcW w:w="1171" w:type="dxa"/>
            <w:vMerge/>
          </w:tcPr>
          <w:p w14:paraId="3499B24D" w14:textId="77777777" w:rsidR="00242242" w:rsidRPr="00281255" w:rsidRDefault="00242242" w:rsidP="00C512E5">
            <w:pPr>
              <w:pStyle w:val="Heading2"/>
              <w:keepNext w:val="0"/>
              <w:keepLines w:val="0"/>
              <w:widowControl w:val="0"/>
              <w:spacing w:before="0" w:line="240" w:lineRule="auto"/>
              <w:jc w:val="center"/>
              <w:rPr>
                <w:rFonts w:ascii="Bookman Old Style" w:hAnsi="Bookman Old Style"/>
                <w:noProof/>
                <w:color w:val="000000" w:themeColor="text1"/>
              </w:rPr>
            </w:pPr>
          </w:p>
        </w:tc>
        <w:tc>
          <w:tcPr>
            <w:tcW w:w="7874" w:type="dxa"/>
            <w:gridSpan w:val="3"/>
            <w:vMerge/>
          </w:tcPr>
          <w:p w14:paraId="075A0E1D" w14:textId="77777777" w:rsidR="00242242" w:rsidRPr="00DC7CE7" w:rsidRDefault="00242242" w:rsidP="00DC7CE7">
            <w:pPr>
              <w:spacing w:before="120"/>
              <w:jc w:val="center"/>
              <w:rPr>
                <w:rFonts w:ascii="Bookman Old Style" w:eastAsia="Times New Roman" w:hAnsi="Bookman Old Style" w:cstheme="minorHAnsi"/>
                <w:b/>
                <w:bCs/>
                <w:color w:val="2F5496" w:themeColor="accent1" w:themeShade="BF"/>
                <w:sz w:val="24"/>
                <w:szCs w:val="24"/>
                <w:lang w:eastAsia="en-GB"/>
              </w:rPr>
            </w:pPr>
          </w:p>
        </w:tc>
        <w:tc>
          <w:tcPr>
            <w:tcW w:w="1149" w:type="dxa"/>
          </w:tcPr>
          <w:p w14:paraId="24DC35B8" w14:textId="7A9E816B" w:rsidR="00242242" w:rsidRPr="00281255" w:rsidRDefault="00242242" w:rsidP="00242242">
            <w:pPr>
              <w:pStyle w:val="Heading2"/>
              <w:keepNext w:val="0"/>
              <w:keepLines w:val="0"/>
              <w:widowControl w:val="0"/>
              <w:spacing w:before="0" w:line="240" w:lineRule="auto"/>
              <w:rPr>
                <w:rFonts w:ascii="Bookman Old Style" w:hAnsi="Bookman Old Style"/>
                <w:noProof/>
                <w:color w:val="000000" w:themeColor="text1"/>
              </w:rPr>
            </w:pPr>
          </w:p>
        </w:tc>
      </w:tr>
      <w:tr w:rsidR="00EC1B5E" w14:paraId="00AB4774" w14:textId="77777777" w:rsidTr="0009429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gridSpan w:val="2"/>
          </w:tcPr>
          <w:p w14:paraId="61127700" w14:textId="305FA252" w:rsidR="00B3392F" w:rsidRPr="001605F5" w:rsidRDefault="0010131B" w:rsidP="00232F38">
            <w:pPr>
              <w:jc w:val="center"/>
              <w:rPr>
                <w:rFonts w:ascii="Bookman Old Style" w:hAnsi="Bookman Old Style" w:cstheme="minorHAnsi"/>
                <w:b/>
                <w:bCs/>
                <w:i/>
                <w:iCs/>
              </w:rPr>
            </w:pPr>
            <w:r w:rsidRPr="001605F5">
              <w:rPr>
                <w:rFonts w:ascii="Bookman Old Style" w:hAnsi="Bookman Old Style" w:cstheme="minorHAnsi"/>
                <w:b/>
                <w:bCs/>
                <w:i/>
                <w:iCs/>
              </w:rPr>
              <w:t xml:space="preserve">What immediate challenges </w:t>
            </w:r>
            <w:r w:rsidR="00DC446D">
              <w:rPr>
                <w:rFonts w:ascii="Bookman Old Style" w:hAnsi="Bookman Old Style" w:cstheme="minorHAnsi"/>
                <w:b/>
                <w:bCs/>
                <w:i/>
                <w:iCs/>
              </w:rPr>
              <w:t xml:space="preserve">did </w:t>
            </w:r>
            <w:r w:rsidR="00DC446D" w:rsidRPr="001605F5">
              <w:rPr>
                <w:rFonts w:ascii="Bookman Old Style" w:hAnsi="Bookman Old Style" w:cstheme="minorHAnsi"/>
                <w:b/>
                <w:bCs/>
                <w:i/>
                <w:iCs/>
              </w:rPr>
              <w:t xml:space="preserve">the governments concerned </w:t>
            </w:r>
            <w:r w:rsidR="002B187B" w:rsidRPr="001605F5">
              <w:rPr>
                <w:rFonts w:ascii="Bookman Old Style" w:hAnsi="Bookman Old Style" w:cstheme="minorHAnsi"/>
                <w:b/>
                <w:bCs/>
                <w:i/>
                <w:iCs/>
              </w:rPr>
              <w:t>fac</w:t>
            </w:r>
            <w:r w:rsidR="002B187B">
              <w:rPr>
                <w:rFonts w:ascii="Bookman Old Style" w:hAnsi="Bookman Old Style" w:cstheme="minorHAnsi"/>
                <w:b/>
                <w:bCs/>
                <w:i/>
                <w:iCs/>
              </w:rPr>
              <w:t>e</w:t>
            </w:r>
            <w:r w:rsidR="002B187B" w:rsidRPr="001605F5">
              <w:rPr>
                <w:rFonts w:ascii="Bookman Old Style" w:hAnsi="Bookman Old Style" w:cstheme="minorHAnsi"/>
                <w:b/>
                <w:bCs/>
                <w:i/>
                <w:iCs/>
              </w:rPr>
              <w:t xml:space="preserve"> </w:t>
            </w:r>
            <w:r w:rsidR="009740C0" w:rsidRPr="001605F5">
              <w:rPr>
                <w:rFonts w:ascii="Bookman Old Style" w:hAnsi="Bookman Old Style" w:cstheme="minorHAnsi"/>
                <w:b/>
                <w:bCs/>
                <w:i/>
                <w:iCs/>
              </w:rPr>
              <w:t xml:space="preserve">for </w:t>
            </w:r>
            <w:r w:rsidR="0087603C">
              <w:rPr>
                <w:rFonts w:ascii="Bookman Old Style" w:hAnsi="Bookman Old Style" w:cstheme="minorHAnsi"/>
                <w:b/>
                <w:bCs/>
                <w:i/>
                <w:iCs/>
              </w:rPr>
              <w:t xml:space="preserve">their </w:t>
            </w:r>
            <w:r w:rsidR="00CD4FB8" w:rsidRPr="001605F5">
              <w:rPr>
                <w:rFonts w:ascii="Bookman Old Style" w:hAnsi="Bookman Old Style" w:cstheme="minorHAnsi"/>
                <w:b/>
                <w:bCs/>
                <w:i/>
                <w:iCs/>
              </w:rPr>
              <w:t>dockyards and shipyards</w:t>
            </w:r>
            <w:r w:rsidRPr="001605F5">
              <w:rPr>
                <w:rFonts w:ascii="Bookman Old Style" w:hAnsi="Bookman Old Style" w:cstheme="minorHAnsi"/>
                <w:b/>
                <w:bCs/>
                <w:i/>
                <w:iCs/>
              </w:rPr>
              <w:t>?</w:t>
            </w:r>
          </w:p>
          <w:p w14:paraId="7FFEAB86" w14:textId="43579DBE" w:rsidR="0010131B" w:rsidRPr="001605F5" w:rsidRDefault="0010131B" w:rsidP="00232F38">
            <w:pPr>
              <w:spacing w:before="60"/>
              <w:jc w:val="center"/>
              <w:rPr>
                <w:rFonts w:ascii="Bookman Old Style" w:hAnsi="Bookman Old Style"/>
                <w:b/>
                <w:bCs/>
                <w:color w:val="000000"/>
              </w:rPr>
            </w:pPr>
            <w:r w:rsidRPr="001605F5">
              <w:rPr>
                <w:rFonts w:ascii="Bookman Old Style" w:hAnsi="Bookman Old Style"/>
                <w:b/>
                <w:bCs/>
                <w:i/>
                <w:iCs/>
                <w:color w:val="000000"/>
              </w:rPr>
              <w:t xml:space="preserve">What long-term impacts resonate </w:t>
            </w:r>
            <w:r w:rsidR="001605F5">
              <w:rPr>
                <w:rFonts w:ascii="Bookman Old Style" w:hAnsi="Bookman Old Style"/>
                <w:b/>
                <w:bCs/>
                <w:i/>
                <w:iCs/>
                <w:color w:val="000000"/>
              </w:rPr>
              <w:t xml:space="preserve">for them </w:t>
            </w:r>
            <w:r w:rsidRPr="001605F5">
              <w:rPr>
                <w:rFonts w:ascii="Bookman Old Style" w:hAnsi="Bookman Old Style"/>
                <w:b/>
                <w:bCs/>
                <w:i/>
                <w:iCs/>
                <w:color w:val="000000"/>
              </w:rPr>
              <w:t>today?</w:t>
            </w:r>
          </w:p>
        </w:tc>
        <w:tc>
          <w:tcPr>
            <w:tcW w:w="4961" w:type="dxa"/>
          </w:tcPr>
          <w:p w14:paraId="680721F9" w14:textId="78CF7696" w:rsidR="0010131B" w:rsidRDefault="0010131B" w:rsidP="00CF4092">
            <w:pPr>
              <w:jc w:val="center"/>
              <w:rPr>
                <w:rFonts w:ascii="Bookman Old Style" w:hAnsi="Bookman Old Style"/>
                <w:b/>
                <w:sz w:val="24"/>
                <w:szCs w:val="24"/>
              </w:rPr>
            </w:pPr>
            <w:r>
              <w:rPr>
                <w:noProof/>
              </w:rPr>
              <w:drawing>
                <wp:inline distT="0" distB="0" distL="0" distR="0" wp14:anchorId="4A054B0F" wp14:editId="07E1FA63">
                  <wp:extent cx="3098525" cy="2390775"/>
                  <wp:effectExtent l="0" t="0" r="6985" b="0"/>
                  <wp:docPr id="1347853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7185" cy="2428320"/>
                          </a:xfrm>
                          <a:prstGeom prst="rect">
                            <a:avLst/>
                          </a:prstGeom>
                          <a:noFill/>
                          <a:ln>
                            <a:noFill/>
                          </a:ln>
                        </pic:spPr>
                      </pic:pic>
                    </a:graphicData>
                  </a:graphic>
                </wp:inline>
              </w:drawing>
            </w:r>
          </w:p>
        </w:tc>
        <w:tc>
          <w:tcPr>
            <w:tcW w:w="3402" w:type="dxa"/>
            <w:gridSpan w:val="3"/>
          </w:tcPr>
          <w:p w14:paraId="4A18424F" w14:textId="77777777" w:rsidR="00232F38" w:rsidRPr="00094290" w:rsidRDefault="00506C8F" w:rsidP="00232F38">
            <w:pPr>
              <w:spacing w:before="60"/>
              <w:rPr>
                <w:rFonts w:ascii="Bookman Old Style" w:hAnsi="Bookman Old Style"/>
              </w:rPr>
            </w:pPr>
            <w:r w:rsidRPr="00094290">
              <w:rPr>
                <w:rFonts w:ascii="Bookman Old Style" w:hAnsi="Bookman Old Style"/>
              </w:rPr>
              <w:t xml:space="preserve">Signifying personal </w:t>
            </w:r>
            <w:r w:rsidR="00126221" w:rsidRPr="00094290">
              <w:rPr>
                <w:rFonts w:ascii="Bookman Old Style" w:hAnsi="Bookman Old Style"/>
              </w:rPr>
              <w:t xml:space="preserve">and </w:t>
            </w:r>
            <w:r w:rsidR="00EC1B5E" w:rsidRPr="00094290">
              <w:rPr>
                <w:rFonts w:ascii="Bookman Old Style" w:hAnsi="Bookman Old Style"/>
              </w:rPr>
              <w:t xml:space="preserve">international </w:t>
            </w:r>
            <w:r w:rsidR="000B012A" w:rsidRPr="00094290">
              <w:rPr>
                <w:rFonts w:ascii="Bookman Old Style" w:hAnsi="Bookman Old Style"/>
              </w:rPr>
              <w:t xml:space="preserve">interest </w:t>
            </w:r>
            <w:r w:rsidR="008210DB" w:rsidRPr="00094290">
              <w:rPr>
                <w:rFonts w:ascii="Bookman Old Style" w:hAnsi="Bookman Old Style"/>
              </w:rPr>
              <w:t>and legacy</w:t>
            </w:r>
            <w:r w:rsidR="00EC1B5E" w:rsidRPr="00094290">
              <w:rPr>
                <w:rFonts w:ascii="Bookman Old Style" w:hAnsi="Bookman Old Style"/>
              </w:rPr>
              <w:t>:</w:t>
            </w:r>
            <w:r w:rsidRPr="00094290">
              <w:rPr>
                <w:rFonts w:ascii="Bookman Old Style" w:hAnsi="Bookman Old Style"/>
              </w:rPr>
              <w:t xml:space="preserve"> </w:t>
            </w:r>
            <w:r w:rsidR="00B3392F" w:rsidRPr="00094290">
              <w:rPr>
                <w:rFonts w:ascii="Bookman Old Style" w:hAnsi="Bookman Old Style"/>
              </w:rPr>
              <w:t xml:space="preserve">USS </w:t>
            </w:r>
            <w:r w:rsidR="00B3392F" w:rsidRPr="00094290">
              <w:rPr>
                <w:rFonts w:ascii="Bookman Old Style" w:hAnsi="Bookman Old Style"/>
                <w:i/>
                <w:iCs/>
              </w:rPr>
              <w:t>Salem</w:t>
            </w:r>
            <w:r w:rsidR="00B3392F" w:rsidRPr="00094290">
              <w:rPr>
                <w:rFonts w:ascii="Bookman Old Style" w:hAnsi="Bookman Old Style"/>
              </w:rPr>
              <w:t xml:space="preserve">, US 6th Fleet flagship </w:t>
            </w:r>
            <w:r w:rsidR="009C081B" w:rsidRPr="00094290">
              <w:rPr>
                <w:rFonts w:ascii="Bookman Old Style" w:hAnsi="Bookman Old Style"/>
              </w:rPr>
              <w:t xml:space="preserve">being </w:t>
            </w:r>
            <w:r w:rsidR="00B3392F" w:rsidRPr="00094290">
              <w:rPr>
                <w:rFonts w:ascii="Bookman Old Style" w:hAnsi="Bookman Old Style"/>
              </w:rPr>
              <w:t>lifted by AFD 35</w:t>
            </w:r>
            <w:r w:rsidR="009C081B" w:rsidRPr="00094290">
              <w:rPr>
                <w:rFonts w:ascii="Bookman Old Style" w:hAnsi="Bookman Old Style"/>
              </w:rPr>
              <w:t xml:space="preserve"> in</w:t>
            </w:r>
            <w:r w:rsidR="00B3392F" w:rsidRPr="00094290">
              <w:rPr>
                <w:rFonts w:ascii="Bookman Old Style" w:hAnsi="Bookman Old Style"/>
              </w:rPr>
              <w:t xml:space="preserve"> Grand Harbour Malta, 1956</w:t>
            </w:r>
            <w:r w:rsidR="0048292F" w:rsidRPr="00094290">
              <w:rPr>
                <w:rFonts w:ascii="Bookman Old Style" w:hAnsi="Bookman Old Style"/>
              </w:rPr>
              <w:t>,</w:t>
            </w:r>
            <w:r w:rsidR="00B3392F" w:rsidRPr="00094290">
              <w:rPr>
                <w:rFonts w:ascii="Bookman Old Style" w:hAnsi="Bookman Old Style"/>
              </w:rPr>
              <w:t xml:space="preserve"> just before </w:t>
            </w:r>
            <w:r w:rsidR="008210DB" w:rsidRPr="00094290">
              <w:rPr>
                <w:rFonts w:ascii="Bookman Old Style" w:hAnsi="Bookman Old Style"/>
              </w:rPr>
              <w:t xml:space="preserve">the </w:t>
            </w:r>
            <w:r w:rsidR="00B3392F" w:rsidRPr="00094290">
              <w:rPr>
                <w:rFonts w:ascii="Bookman Old Style" w:hAnsi="Bookman Old Style"/>
              </w:rPr>
              <w:t>Suez crisis.</w:t>
            </w:r>
          </w:p>
          <w:p w14:paraId="71062194" w14:textId="77777777" w:rsidR="00232F38" w:rsidRPr="00094290" w:rsidRDefault="00B3392F" w:rsidP="00232F38">
            <w:pPr>
              <w:spacing w:before="60"/>
              <w:rPr>
                <w:rFonts w:ascii="Bookman Old Style" w:hAnsi="Bookman Old Style"/>
              </w:rPr>
            </w:pPr>
            <w:r w:rsidRPr="00094290">
              <w:rPr>
                <w:rFonts w:ascii="Bookman Old Style" w:hAnsi="Bookman Old Style"/>
              </w:rPr>
              <w:t xml:space="preserve">Decommissioned, now at US Naval and Shipbuilding Museum, Quincy, Massachusetts, </w:t>
            </w:r>
            <w:hyperlink r:id="rId11" w:history="1">
              <w:r w:rsidR="00C77113" w:rsidRPr="00094290">
                <w:rPr>
                  <w:rStyle w:val="Hyperlink"/>
                  <w:rFonts w:ascii="Bookman Old Style" w:hAnsi="Bookman Old Style"/>
                </w:rPr>
                <w:t>https://www.uss-salem.org/</w:t>
              </w:r>
            </w:hyperlink>
            <w:r w:rsidRPr="00094290">
              <w:rPr>
                <w:rFonts w:ascii="Bookman Old Style" w:hAnsi="Bookman Old Style"/>
              </w:rPr>
              <w:t xml:space="preserve">. </w:t>
            </w:r>
          </w:p>
          <w:p w14:paraId="74AF35AE" w14:textId="100D8077" w:rsidR="0010131B" w:rsidRPr="00232F38" w:rsidRDefault="00B3392F" w:rsidP="00232F38">
            <w:pPr>
              <w:spacing w:before="60"/>
              <w:rPr>
                <w:rFonts w:ascii="Bookman Old Style" w:hAnsi="Bookman Old Style"/>
                <w:w w:val="90"/>
              </w:rPr>
            </w:pPr>
            <w:r w:rsidRPr="00094290">
              <w:rPr>
                <w:rFonts w:ascii="Bookman Old Style" w:hAnsi="Bookman Old Style"/>
              </w:rPr>
              <w:t>Photo Roger Bendall</w:t>
            </w:r>
            <w:r w:rsidR="003E621E" w:rsidRPr="00094290">
              <w:rPr>
                <w:rFonts w:ascii="Bookman Old Style" w:hAnsi="Bookman Old Style"/>
              </w:rPr>
              <w:t>, 1956</w:t>
            </w:r>
            <w:r w:rsidRPr="00094290">
              <w:rPr>
                <w:rFonts w:ascii="Bookman Old Style" w:hAnsi="Bookman Old Style"/>
              </w:rPr>
              <w:t>.</w:t>
            </w:r>
          </w:p>
        </w:tc>
      </w:tr>
    </w:tbl>
    <w:p w14:paraId="61785559" w14:textId="40E3F282" w:rsidR="00DF633A" w:rsidRPr="00A46DD7" w:rsidRDefault="006E3C74" w:rsidP="008A21D3">
      <w:pPr>
        <w:spacing w:before="180" w:after="0" w:line="240" w:lineRule="auto"/>
        <w:rPr>
          <w:rFonts w:ascii="Bookman Old Style" w:eastAsia="Times New Roman" w:hAnsi="Bookman Old Style" w:cs="Calibri"/>
          <w:w w:val="90"/>
          <w:sz w:val="24"/>
          <w:szCs w:val="24"/>
          <w:lang w:eastAsia="en-GB"/>
        </w:rPr>
      </w:pPr>
      <w:r w:rsidRPr="00A46DD7">
        <w:rPr>
          <w:rFonts w:ascii="Bookman Old Style" w:eastAsia="Times New Roman" w:hAnsi="Bookman Old Style" w:cs="Calibri"/>
          <w:w w:val="90"/>
          <w:sz w:val="24"/>
          <w:szCs w:val="24"/>
          <w:lang w:eastAsia="en-GB"/>
        </w:rPr>
        <w:t xml:space="preserve">Writing a decade after the Suez crisis, one contemporary politician dismissed the affair as merely </w:t>
      </w:r>
      <w:r w:rsidR="0041102B" w:rsidRPr="00A46DD7">
        <w:rPr>
          <w:rFonts w:ascii="Bookman Old Style" w:eastAsia="Times New Roman" w:hAnsi="Bookman Old Style" w:cs="Calibri"/>
          <w:w w:val="90"/>
          <w:sz w:val="24"/>
          <w:szCs w:val="24"/>
          <w:lang w:eastAsia="en-GB"/>
        </w:rPr>
        <w:t>‘</w:t>
      </w:r>
      <w:r w:rsidRPr="00A46DD7">
        <w:rPr>
          <w:rFonts w:ascii="Bookman Old Style" w:eastAsia="Times New Roman" w:hAnsi="Bookman Old Style" w:cs="Calibri"/>
          <w:w w:val="90"/>
          <w:sz w:val="24"/>
          <w:szCs w:val="24"/>
          <w:lang w:eastAsia="en-GB"/>
        </w:rPr>
        <w:t>the dying convulsion of the British Empire.</w:t>
      </w:r>
      <w:r w:rsidR="0041102B" w:rsidRPr="00A46DD7">
        <w:rPr>
          <w:rFonts w:ascii="Bookman Old Style" w:eastAsia="Times New Roman" w:hAnsi="Bookman Old Style" w:cs="Calibri"/>
          <w:w w:val="90"/>
          <w:sz w:val="24"/>
          <w:szCs w:val="24"/>
          <w:lang w:eastAsia="en-GB"/>
        </w:rPr>
        <w:t>’</w:t>
      </w:r>
      <w:r w:rsidR="00186338" w:rsidRPr="00A46DD7">
        <w:rPr>
          <w:rStyle w:val="FootnoteReference"/>
          <w:rFonts w:ascii="Bookman Old Style" w:eastAsia="Times New Roman" w:hAnsi="Bookman Old Style" w:cs="Calibri"/>
          <w:w w:val="90"/>
          <w:sz w:val="24"/>
          <w:szCs w:val="24"/>
          <w:lang w:eastAsia="en-GB"/>
        </w:rPr>
        <w:footnoteReference w:customMarkFollows="1" w:id="1"/>
        <w:sym w:font="Symbol" w:char="F02A"/>
      </w:r>
      <w:r w:rsidRPr="00A46DD7">
        <w:rPr>
          <w:rFonts w:ascii="Bookman Old Style" w:eastAsia="Times New Roman" w:hAnsi="Bookman Old Style" w:cs="Calibri"/>
          <w:w w:val="90"/>
          <w:sz w:val="24"/>
          <w:szCs w:val="24"/>
          <w:lang w:eastAsia="en-GB"/>
        </w:rPr>
        <w:t xml:space="preserve"> This view is still widely held today, but </w:t>
      </w:r>
      <w:r w:rsidR="00147AC2" w:rsidRPr="00A46DD7">
        <w:rPr>
          <w:rFonts w:ascii="Bookman Old Style" w:hAnsi="Bookman Old Style" w:cs="Calibri"/>
          <w:w w:val="90"/>
          <w:sz w:val="24"/>
          <w:szCs w:val="24"/>
        </w:rPr>
        <w:t>h</w:t>
      </w:r>
      <w:r w:rsidR="00131074" w:rsidRPr="00A46DD7">
        <w:rPr>
          <w:rFonts w:ascii="Bookman Old Style" w:hAnsi="Bookman Old Style" w:cs="Calibri"/>
          <w:w w:val="90"/>
          <w:sz w:val="24"/>
          <w:szCs w:val="24"/>
        </w:rPr>
        <w:t xml:space="preserve">ow </w:t>
      </w:r>
      <w:r w:rsidR="00697A61" w:rsidRPr="00A46DD7">
        <w:rPr>
          <w:rFonts w:ascii="Bookman Old Style" w:hAnsi="Bookman Old Style" w:cs="Calibri"/>
          <w:w w:val="90"/>
          <w:sz w:val="24"/>
          <w:szCs w:val="24"/>
        </w:rPr>
        <w:t xml:space="preserve">authentic </w:t>
      </w:r>
      <w:r w:rsidR="00131074" w:rsidRPr="00A46DD7">
        <w:rPr>
          <w:rFonts w:ascii="Bookman Old Style" w:hAnsi="Bookman Old Style" w:cs="Calibri"/>
          <w:w w:val="90"/>
          <w:sz w:val="24"/>
          <w:szCs w:val="24"/>
        </w:rPr>
        <w:t xml:space="preserve">is that </w:t>
      </w:r>
      <w:r w:rsidR="00E568C0" w:rsidRPr="00A46DD7">
        <w:rPr>
          <w:rFonts w:ascii="Bookman Old Style" w:hAnsi="Bookman Old Style" w:cs="Calibri"/>
          <w:w w:val="90"/>
          <w:sz w:val="24"/>
          <w:szCs w:val="24"/>
        </w:rPr>
        <w:t>in</w:t>
      </w:r>
      <w:r w:rsidR="00131074" w:rsidRPr="00A46DD7">
        <w:rPr>
          <w:rFonts w:ascii="Bookman Old Style" w:hAnsi="Bookman Old Style" w:cs="Calibri"/>
          <w:w w:val="90"/>
          <w:sz w:val="24"/>
          <w:szCs w:val="24"/>
        </w:rPr>
        <w:t>t</w:t>
      </w:r>
      <w:r w:rsidR="00E568C0" w:rsidRPr="00A46DD7">
        <w:rPr>
          <w:rFonts w:ascii="Bookman Old Style" w:hAnsi="Bookman Old Style" w:cs="Calibri"/>
          <w:w w:val="90"/>
          <w:sz w:val="24"/>
          <w:szCs w:val="24"/>
        </w:rPr>
        <w:t>erpretation</w:t>
      </w:r>
      <w:r w:rsidR="00131074" w:rsidRPr="00A46DD7">
        <w:rPr>
          <w:rFonts w:ascii="Bookman Old Style" w:hAnsi="Bookman Old Style" w:cs="Calibri"/>
          <w:w w:val="90"/>
          <w:sz w:val="24"/>
          <w:szCs w:val="24"/>
        </w:rPr>
        <w:t xml:space="preserve"> in hindsight?</w:t>
      </w:r>
    </w:p>
    <w:p w14:paraId="64DF5147" w14:textId="10AA49BF" w:rsidR="00B86181" w:rsidRPr="00A46DD7" w:rsidRDefault="002542A6" w:rsidP="008A21D3">
      <w:pPr>
        <w:pStyle w:val="Default"/>
        <w:spacing w:before="180"/>
        <w:rPr>
          <w:rFonts w:ascii="Bookman Old Style" w:hAnsi="Bookman Old Style"/>
          <w:w w:val="90"/>
        </w:rPr>
      </w:pPr>
      <w:r w:rsidRPr="00A46DD7">
        <w:rPr>
          <w:rFonts w:ascii="Bookman Old Style" w:hAnsi="Bookman Old Style"/>
          <w:w w:val="90"/>
        </w:rPr>
        <w:t xml:space="preserve">How did </w:t>
      </w:r>
      <w:r w:rsidR="00462E3A" w:rsidRPr="00A46DD7">
        <w:rPr>
          <w:rFonts w:ascii="Bookman Old Style" w:hAnsi="Bookman Old Style"/>
          <w:w w:val="90"/>
        </w:rPr>
        <w:t>the Suez</w:t>
      </w:r>
      <w:r w:rsidRPr="00A46DD7">
        <w:rPr>
          <w:rFonts w:ascii="Bookman Old Style" w:hAnsi="Bookman Old Style"/>
          <w:w w:val="90"/>
        </w:rPr>
        <w:t xml:space="preserve"> </w:t>
      </w:r>
      <w:r w:rsidR="00462E3A" w:rsidRPr="00A46DD7">
        <w:rPr>
          <w:rFonts w:ascii="Bookman Old Style" w:hAnsi="Bookman Old Style"/>
          <w:w w:val="90"/>
        </w:rPr>
        <w:t xml:space="preserve">crisis </w:t>
      </w:r>
      <w:r w:rsidR="00B86181" w:rsidRPr="00A46DD7">
        <w:rPr>
          <w:rFonts w:ascii="Bookman Old Style" w:hAnsi="Bookman Old Style"/>
          <w:w w:val="90"/>
        </w:rPr>
        <w:t>redefine</w:t>
      </w:r>
      <w:r w:rsidRPr="00A46DD7">
        <w:rPr>
          <w:rFonts w:ascii="Bookman Old Style" w:hAnsi="Bookman Old Style"/>
          <w:w w:val="90"/>
        </w:rPr>
        <w:t xml:space="preserve"> </w:t>
      </w:r>
      <w:r w:rsidR="00462E3A" w:rsidRPr="00A46DD7">
        <w:rPr>
          <w:rFonts w:ascii="Bookman Old Style" w:hAnsi="Bookman Old Style"/>
          <w:w w:val="90"/>
        </w:rPr>
        <w:t>Britain’s international identity</w:t>
      </w:r>
      <w:r w:rsidR="00BC6C11" w:rsidRPr="00A46DD7">
        <w:rPr>
          <w:rFonts w:ascii="Bookman Old Style" w:hAnsi="Bookman Old Style"/>
          <w:w w:val="90"/>
        </w:rPr>
        <w:t xml:space="preserve"> and economic profile</w:t>
      </w:r>
      <w:r w:rsidR="003355F2" w:rsidRPr="00A46DD7">
        <w:rPr>
          <w:rFonts w:ascii="Bookman Old Style" w:hAnsi="Bookman Old Style"/>
          <w:w w:val="90"/>
        </w:rPr>
        <w:t xml:space="preserve"> and its relationship with former colonies</w:t>
      </w:r>
      <w:r w:rsidR="00BE5677" w:rsidRPr="00A46DD7">
        <w:rPr>
          <w:rFonts w:ascii="Bookman Old Style" w:hAnsi="Bookman Old Style"/>
          <w:w w:val="90"/>
        </w:rPr>
        <w:t xml:space="preserve"> and </w:t>
      </w:r>
      <w:r w:rsidR="0028654B" w:rsidRPr="00A46DD7">
        <w:rPr>
          <w:rFonts w:ascii="Bookman Old Style" w:hAnsi="Bookman Old Style"/>
          <w:w w:val="90"/>
        </w:rPr>
        <w:t>ongoing allies</w:t>
      </w:r>
      <w:r w:rsidR="00462E3A" w:rsidRPr="00A46DD7">
        <w:rPr>
          <w:rFonts w:ascii="Bookman Old Style" w:hAnsi="Bookman Old Style"/>
          <w:w w:val="90"/>
        </w:rPr>
        <w:t>?</w:t>
      </w:r>
      <w:r w:rsidR="005252AC" w:rsidRPr="00A46DD7">
        <w:rPr>
          <w:rFonts w:ascii="Bookman Old Style" w:hAnsi="Bookman Old Style"/>
          <w:w w:val="90"/>
        </w:rPr>
        <w:t xml:space="preserve"> </w:t>
      </w:r>
      <w:r w:rsidR="00B86181" w:rsidRPr="00A46DD7">
        <w:rPr>
          <w:rFonts w:ascii="Bookman Old Style" w:hAnsi="Bookman Old Style" w:cs="Times New Roman"/>
          <w:w w:val="90"/>
        </w:rPr>
        <w:t xml:space="preserve">And how did it influence attitudes among Britain’s allies, </w:t>
      </w:r>
      <w:r w:rsidR="00600C5F" w:rsidRPr="00A46DD7">
        <w:rPr>
          <w:rFonts w:ascii="Bookman Old Style" w:hAnsi="Bookman Old Style" w:cs="Times New Roman"/>
          <w:w w:val="90"/>
        </w:rPr>
        <w:t>including</w:t>
      </w:r>
      <w:r w:rsidR="00B86181" w:rsidRPr="00A46DD7">
        <w:rPr>
          <w:rFonts w:ascii="Bookman Old Style" w:hAnsi="Bookman Old Style" w:cs="Times New Roman"/>
          <w:w w:val="90"/>
        </w:rPr>
        <w:t xml:space="preserve"> France and Israel, who had taken part, and the United States who</w:t>
      </w:r>
      <w:r w:rsidR="00325766" w:rsidRPr="00A46DD7">
        <w:rPr>
          <w:rFonts w:ascii="Bookman Old Style" w:hAnsi="Bookman Old Style" w:cs="Times New Roman"/>
          <w:w w:val="90"/>
        </w:rPr>
        <w:t xml:space="preserve"> had</w:t>
      </w:r>
      <w:r w:rsidR="00B86181" w:rsidRPr="00A46DD7">
        <w:rPr>
          <w:rFonts w:ascii="Bookman Old Style" w:hAnsi="Bookman Old Style" w:cs="Times New Roman"/>
          <w:w w:val="90"/>
        </w:rPr>
        <w:t xml:space="preserve"> forced an early end to the action?</w:t>
      </w:r>
    </w:p>
    <w:p w14:paraId="3CA018AC" w14:textId="076157FA" w:rsidR="00B86181" w:rsidRPr="00A46DD7" w:rsidRDefault="00395F51" w:rsidP="008A21D3">
      <w:pPr>
        <w:spacing w:before="180" w:after="0" w:line="240" w:lineRule="auto"/>
        <w:rPr>
          <w:rFonts w:ascii="Bookman Old Style" w:eastAsia="Times New Roman" w:hAnsi="Bookman Old Style" w:cs="Times New Roman"/>
          <w:w w:val="90"/>
          <w:sz w:val="24"/>
          <w:szCs w:val="24"/>
          <w:lang w:eastAsia="en-GB"/>
        </w:rPr>
      </w:pPr>
      <w:r w:rsidRPr="00A46DD7">
        <w:rPr>
          <w:rFonts w:ascii="Bookman Old Style" w:hAnsi="Bookman Old Style" w:cs="Calibri"/>
          <w:w w:val="90"/>
          <w:sz w:val="24"/>
          <w:szCs w:val="24"/>
        </w:rPr>
        <w:t xml:space="preserve">Critically, </w:t>
      </w:r>
      <w:bookmarkStart w:id="1" w:name="_Hlk217369574"/>
      <w:r w:rsidRPr="00A46DD7">
        <w:rPr>
          <w:rFonts w:ascii="Bookman Old Style" w:hAnsi="Bookman Old Style" w:cs="Calibri"/>
          <w:w w:val="90"/>
          <w:sz w:val="24"/>
          <w:szCs w:val="24"/>
        </w:rPr>
        <w:t>h</w:t>
      </w:r>
      <w:r w:rsidR="00E568C0" w:rsidRPr="00A46DD7">
        <w:rPr>
          <w:rFonts w:ascii="Bookman Old Style" w:hAnsi="Bookman Old Style" w:cs="Calibri"/>
          <w:w w:val="90"/>
          <w:sz w:val="24"/>
          <w:szCs w:val="24"/>
        </w:rPr>
        <w:t xml:space="preserve">ow did </w:t>
      </w:r>
      <w:r w:rsidRPr="00A46DD7">
        <w:rPr>
          <w:rFonts w:ascii="Bookman Old Style" w:hAnsi="Bookman Old Style" w:cs="Calibri"/>
          <w:w w:val="90"/>
          <w:sz w:val="24"/>
          <w:szCs w:val="24"/>
        </w:rPr>
        <w:t>the</w:t>
      </w:r>
      <w:r w:rsidR="00E568C0" w:rsidRPr="00A46DD7">
        <w:rPr>
          <w:rFonts w:ascii="Bookman Old Style" w:hAnsi="Bookman Old Style" w:cs="Calibri"/>
          <w:w w:val="90"/>
          <w:sz w:val="24"/>
          <w:szCs w:val="24"/>
        </w:rPr>
        <w:t xml:space="preserve"> </w:t>
      </w:r>
      <w:r w:rsidRPr="00A46DD7">
        <w:rPr>
          <w:rFonts w:ascii="Bookman Old Style" w:hAnsi="Bookman Old Style" w:cs="Calibri"/>
          <w:w w:val="90"/>
          <w:sz w:val="24"/>
          <w:szCs w:val="24"/>
        </w:rPr>
        <w:t xml:space="preserve">Suez </w:t>
      </w:r>
      <w:r w:rsidR="00E568C0" w:rsidRPr="00A46DD7">
        <w:rPr>
          <w:rFonts w:ascii="Bookman Old Style" w:hAnsi="Bookman Old Style" w:cs="Calibri"/>
          <w:w w:val="90"/>
          <w:sz w:val="24"/>
          <w:szCs w:val="24"/>
        </w:rPr>
        <w:t xml:space="preserve">aftermath </w:t>
      </w:r>
      <w:r w:rsidR="008B7E4E" w:rsidRPr="00A46DD7">
        <w:rPr>
          <w:rFonts w:ascii="Bookman Old Style" w:hAnsi="Bookman Old Style" w:cs="Times New Roman"/>
          <w:w w:val="90"/>
          <w:sz w:val="24"/>
          <w:szCs w:val="24"/>
        </w:rPr>
        <w:t xml:space="preserve">and its </w:t>
      </w:r>
      <w:r w:rsidR="00A168D2" w:rsidRPr="00A46DD7">
        <w:rPr>
          <w:rFonts w:ascii="Bookman Old Style" w:hAnsi="Bookman Old Style" w:cs="Times New Roman"/>
          <w:w w:val="90"/>
          <w:sz w:val="24"/>
          <w:szCs w:val="24"/>
        </w:rPr>
        <w:t>often-bitter</w:t>
      </w:r>
      <w:r w:rsidR="008B7E4E" w:rsidRPr="00A46DD7">
        <w:rPr>
          <w:rFonts w:ascii="Bookman Old Style" w:hAnsi="Bookman Old Style" w:cs="Times New Roman"/>
          <w:w w:val="90"/>
          <w:sz w:val="24"/>
          <w:szCs w:val="24"/>
        </w:rPr>
        <w:t xml:space="preserve"> recriminations</w:t>
      </w:r>
      <w:r w:rsidR="008B7E4E" w:rsidRPr="00A46DD7">
        <w:rPr>
          <w:rFonts w:ascii="Bookman Old Style" w:hAnsi="Bookman Old Style" w:cs="Calibri"/>
          <w:w w:val="90"/>
          <w:sz w:val="24"/>
          <w:szCs w:val="24"/>
        </w:rPr>
        <w:t xml:space="preserve"> </w:t>
      </w:r>
      <w:r w:rsidR="00E568C0" w:rsidRPr="00A46DD7">
        <w:rPr>
          <w:rFonts w:ascii="Bookman Old Style" w:hAnsi="Bookman Old Style" w:cs="Calibri"/>
          <w:w w:val="90"/>
          <w:sz w:val="24"/>
          <w:szCs w:val="24"/>
        </w:rPr>
        <w:t xml:space="preserve">shape </w:t>
      </w:r>
      <w:r w:rsidR="00C31F6A" w:rsidRPr="00A46DD7">
        <w:rPr>
          <w:rFonts w:ascii="Bookman Old Style" w:hAnsi="Bookman Old Style" w:cs="Calibri"/>
          <w:w w:val="90"/>
          <w:sz w:val="24"/>
          <w:szCs w:val="24"/>
        </w:rPr>
        <w:t>future Bri</w:t>
      </w:r>
      <w:r w:rsidR="002B43C2" w:rsidRPr="00A46DD7">
        <w:rPr>
          <w:rFonts w:ascii="Bookman Old Style" w:hAnsi="Bookman Old Style" w:cs="Calibri"/>
          <w:w w:val="90"/>
          <w:sz w:val="24"/>
          <w:szCs w:val="24"/>
        </w:rPr>
        <w:t>ti</w:t>
      </w:r>
      <w:r w:rsidR="00C31F6A" w:rsidRPr="00A46DD7">
        <w:rPr>
          <w:rFonts w:ascii="Bookman Old Style" w:hAnsi="Bookman Old Style" w:cs="Calibri"/>
          <w:w w:val="90"/>
          <w:sz w:val="24"/>
          <w:szCs w:val="24"/>
        </w:rPr>
        <w:t>sh</w:t>
      </w:r>
      <w:r w:rsidR="00E568C0" w:rsidRPr="00A46DD7">
        <w:rPr>
          <w:rFonts w:ascii="Bookman Old Style" w:hAnsi="Bookman Old Style" w:cs="Calibri"/>
          <w:w w:val="90"/>
          <w:sz w:val="24"/>
          <w:szCs w:val="24"/>
        </w:rPr>
        <w:t xml:space="preserve"> </w:t>
      </w:r>
      <w:r w:rsidR="00C31F6A" w:rsidRPr="00A46DD7">
        <w:rPr>
          <w:rFonts w:ascii="Bookman Old Style" w:hAnsi="Bookman Old Style" w:cs="Times New Roman"/>
          <w:w w:val="90"/>
          <w:sz w:val="24"/>
          <w:szCs w:val="24"/>
        </w:rPr>
        <w:t xml:space="preserve">naval policy </w:t>
      </w:r>
      <w:r w:rsidR="00C31F6A" w:rsidRPr="00A46DD7">
        <w:rPr>
          <w:rFonts w:ascii="Bookman Old Style" w:hAnsi="Bookman Old Style" w:cs="Calibri"/>
          <w:w w:val="90"/>
          <w:sz w:val="24"/>
          <w:szCs w:val="24"/>
        </w:rPr>
        <w:t>on</w:t>
      </w:r>
      <w:r w:rsidR="00E568C0" w:rsidRPr="00A46DD7">
        <w:rPr>
          <w:rFonts w:ascii="Bookman Old Style" w:hAnsi="Bookman Old Style" w:cs="Calibri"/>
          <w:w w:val="90"/>
          <w:sz w:val="24"/>
          <w:szCs w:val="24"/>
        </w:rPr>
        <w:t xml:space="preserve"> </w:t>
      </w:r>
      <w:r w:rsidR="00C31F6A" w:rsidRPr="00A46DD7">
        <w:rPr>
          <w:rFonts w:ascii="Bookman Old Style" w:hAnsi="Bookman Old Style" w:cs="Calibri"/>
          <w:w w:val="90"/>
          <w:sz w:val="24"/>
          <w:szCs w:val="24"/>
        </w:rPr>
        <w:t xml:space="preserve">home and </w:t>
      </w:r>
      <w:r w:rsidR="00E568C0" w:rsidRPr="00A46DD7">
        <w:rPr>
          <w:rFonts w:ascii="Bookman Old Style" w:hAnsi="Bookman Old Style" w:cs="Calibri"/>
          <w:w w:val="90"/>
          <w:sz w:val="24"/>
          <w:szCs w:val="24"/>
        </w:rPr>
        <w:t>overseas dockyards and shipyards and their communities?</w:t>
      </w:r>
    </w:p>
    <w:bookmarkEnd w:id="1"/>
    <w:p w14:paraId="1DB058C2" w14:textId="77777777" w:rsidR="00462E3A" w:rsidRPr="00A168D2" w:rsidRDefault="00462E3A" w:rsidP="00B0314D">
      <w:pPr>
        <w:pStyle w:val="Default"/>
        <w:rPr>
          <w:rFonts w:ascii="Bookman Old Style" w:hAnsi="Bookman Old Style"/>
          <w:b/>
          <w:bCs/>
          <w:w w:val="90"/>
        </w:rPr>
      </w:pPr>
    </w:p>
    <w:p w14:paraId="1F917BAC" w14:textId="6021902C" w:rsidR="00B0314D" w:rsidRPr="00A168D2" w:rsidRDefault="00A97689" w:rsidP="00B0314D">
      <w:pPr>
        <w:pStyle w:val="Default"/>
        <w:rPr>
          <w:rFonts w:ascii="Bookman Old Style" w:hAnsi="Bookman Old Style"/>
          <w:b/>
          <w:bCs/>
          <w:w w:val="90"/>
        </w:rPr>
      </w:pPr>
      <w:r w:rsidRPr="00A168D2">
        <w:rPr>
          <w:rFonts w:ascii="Bookman Old Style" w:hAnsi="Bookman Old Style"/>
          <w:b/>
          <w:bCs/>
          <w:w w:val="90"/>
        </w:rPr>
        <w:t xml:space="preserve">Conference themes will </w:t>
      </w:r>
      <w:r w:rsidR="0044328A" w:rsidRPr="00A168D2">
        <w:rPr>
          <w:rFonts w:ascii="Bookman Old Style" w:hAnsi="Bookman Old Style"/>
          <w:b/>
          <w:bCs/>
          <w:w w:val="90"/>
        </w:rPr>
        <w:t>include</w:t>
      </w:r>
      <w:r w:rsidR="00DF633A" w:rsidRPr="00A168D2">
        <w:rPr>
          <w:rFonts w:ascii="Bookman Old Style" w:hAnsi="Bookman Old Style"/>
          <w:b/>
          <w:bCs/>
          <w:w w:val="90"/>
        </w:rPr>
        <w:t>:</w:t>
      </w:r>
    </w:p>
    <w:p w14:paraId="59B0990E" w14:textId="77777777" w:rsidR="00655064" w:rsidRPr="00A168D2" w:rsidRDefault="00F7539A" w:rsidP="00153B30">
      <w:pPr>
        <w:pStyle w:val="Default"/>
        <w:numPr>
          <w:ilvl w:val="0"/>
          <w:numId w:val="9"/>
        </w:numPr>
        <w:spacing w:before="120"/>
        <w:ind w:left="714" w:hanging="357"/>
        <w:rPr>
          <w:rFonts w:ascii="Bookman Old Style" w:eastAsia="Times New Roman" w:hAnsi="Bookman Old Style" w:cstheme="minorHAnsi"/>
          <w:w w:val="90"/>
          <w:lang w:eastAsia="en-GB"/>
        </w:rPr>
      </w:pPr>
      <w:r w:rsidRPr="00A168D2">
        <w:rPr>
          <w:rFonts w:ascii="Bookman Old Style" w:eastAsia="Times New Roman" w:hAnsi="Bookman Old Style" w:cstheme="minorHAnsi"/>
          <w:w w:val="90"/>
          <w:lang w:eastAsia="en-GB"/>
        </w:rPr>
        <w:t>Overview</w:t>
      </w:r>
      <w:r w:rsidR="00AB2EB9" w:rsidRPr="00A168D2">
        <w:rPr>
          <w:rFonts w:ascii="Bookman Old Style" w:eastAsia="Times New Roman" w:hAnsi="Bookman Old Style" w:cstheme="minorHAnsi"/>
          <w:w w:val="90"/>
          <w:lang w:eastAsia="en-GB"/>
        </w:rPr>
        <w:t xml:space="preserve"> </w:t>
      </w:r>
      <w:r w:rsidR="00AB2EB9" w:rsidRPr="00A168D2">
        <w:rPr>
          <w:rFonts w:ascii="Bookman Old Style" w:hAnsi="Bookman Old Style" w:cs="Calibri"/>
          <w:color w:val="222222"/>
          <w:w w:val="90"/>
        </w:rPr>
        <w:t xml:space="preserve">of </w:t>
      </w:r>
      <w:r w:rsidR="00990E8F" w:rsidRPr="00A168D2">
        <w:rPr>
          <w:rFonts w:ascii="Bookman Old Style" w:hAnsi="Bookman Old Style" w:cs="Calibri"/>
          <w:color w:val="222222"/>
          <w:w w:val="90"/>
        </w:rPr>
        <w:t xml:space="preserve">how </w:t>
      </w:r>
      <w:r w:rsidR="00AB2EB9" w:rsidRPr="00A168D2">
        <w:rPr>
          <w:rFonts w:ascii="Bookman Old Style" w:hAnsi="Bookman Old Style" w:cs="Calibri"/>
          <w:color w:val="222222"/>
          <w:w w:val="90"/>
        </w:rPr>
        <w:t xml:space="preserve">the Suez </w:t>
      </w:r>
      <w:r w:rsidR="00F315C2" w:rsidRPr="00A168D2">
        <w:rPr>
          <w:rFonts w:ascii="Bookman Old Style" w:hAnsi="Bookman Old Style" w:cs="Calibri"/>
          <w:color w:val="222222"/>
          <w:w w:val="90"/>
        </w:rPr>
        <w:t>c</w:t>
      </w:r>
      <w:r w:rsidR="00AB2EB9" w:rsidRPr="00A168D2">
        <w:rPr>
          <w:rFonts w:ascii="Bookman Old Style" w:hAnsi="Bookman Old Style" w:cs="Calibri"/>
          <w:color w:val="222222"/>
          <w:w w:val="90"/>
        </w:rPr>
        <w:t>risis shap</w:t>
      </w:r>
      <w:r w:rsidR="00990E8F" w:rsidRPr="00A168D2">
        <w:rPr>
          <w:rFonts w:ascii="Bookman Old Style" w:hAnsi="Bookman Old Style" w:cs="Calibri"/>
          <w:color w:val="222222"/>
          <w:w w:val="90"/>
        </w:rPr>
        <w:t>ed</w:t>
      </w:r>
      <w:r w:rsidR="00AB2EB9" w:rsidRPr="00A168D2">
        <w:rPr>
          <w:rFonts w:ascii="Bookman Old Style" w:hAnsi="Bookman Old Style" w:cs="Calibri"/>
          <w:color w:val="222222"/>
          <w:w w:val="90"/>
        </w:rPr>
        <w:t xml:space="preserve"> </w:t>
      </w:r>
      <w:r w:rsidR="00343A41" w:rsidRPr="00A168D2">
        <w:rPr>
          <w:rFonts w:ascii="Bookman Old Style" w:hAnsi="Bookman Old Style" w:cs="Calibri"/>
          <w:color w:val="222222"/>
          <w:w w:val="90"/>
        </w:rPr>
        <w:t xml:space="preserve">subsequent </w:t>
      </w:r>
      <w:r w:rsidR="00E70F7C" w:rsidRPr="00A168D2">
        <w:rPr>
          <w:rFonts w:ascii="Bookman Old Style" w:hAnsi="Bookman Old Style" w:cs="Calibri"/>
          <w:color w:val="222222"/>
          <w:w w:val="90"/>
        </w:rPr>
        <w:t>British</w:t>
      </w:r>
      <w:r w:rsidR="00AB2EB9" w:rsidRPr="00A168D2">
        <w:rPr>
          <w:rFonts w:ascii="Bookman Old Style" w:hAnsi="Bookman Old Style" w:cs="Calibri"/>
          <w:color w:val="222222"/>
          <w:w w:val="90"/>
        </w:rPr>
        <w:t xml:space="preserve"> </w:t>
      </w:r>
      <w:r w:rsidR="00990E8F" w:rsidRPr="00A168D2">
        <w:rPr>
          <w:rFonts w:ascii="Bookman Old Style" w:hAnsi="Bookman Old Style" w:cs="Calibri"/>
          <w:color w:val="222222"/>
          <w:w w:val="90"/>
        </w:rPr>
        <w:t xml:space="preserve">and Allied </w:t>
      </w:r>
      <w:r w:rsidR="00AB2EB9" w:rsidRPr="00A168D2">
        <w:rPr>
          <w:rFonts w:ascii="Bookman Old Style" w:hAnsi="Bookman Old Style" w:cs="Calibri"/>
          <w:color w:val="222222"/>
          <w:w w:val="90"/>
        </w:rPr>
        <w:t xml:space="preserve">naval </w:t>
      </w:r>
      <w:r w:rsidR="001F7214" w:rsidRPr="00A168D2">
        <w:rPr>
          <w:rFonts w:ascii="Bookman Old Style" w:hAnsi="Bookman Old Style" w:cs="Calibri"/>
          <w:color w:val="222222"/>
          <w:w w:val="90"/>
        </w:rPr>
        <w:t>strategy and</w:t>
      </w:r>
      <w:r w:rsidR="00343A41" w:rsidRPr="00A168D2">
        <w:rPr>
          <w:rFonts w:ascii="Bookman Old Style" w:hAnsi="Bookman Old Style" w:cs="Calibri"/>
          <w:color w:val="222222"/>
          <w:w w:val="90"/>
        </w:rPr>
        <w:t xml:space="preserve"> deployment</w:t>
      </w:r>
      <w:r w:rsidR="00DA44D8" w:rsidRPr="00A168D2">
        <w:rPr>
          <w:rFonts w:ascii="Bookman Old Style" w:hAnsi="Bookman Old Style" w:cs="Calibri"/>
          <w:color w:val="222222"/>
          <w:w w:val="90"/>
        </w:rPr>
        <w:t xml:space="preserve"> in the</w:t>
      </w:r>
      <w:r w:rsidR="00DA44D8" w:rsidRPr="00A168D2">
        <w:rPr>
          <w:rFonts w:ascii="Bookman Old Style" w:eastAsia="Times New Roman" w:hAnsi="Bookman Old Style" w:cstheme="minorHAnsi"/>
          <w:w w:val="90"/>
          <w:lang w:eastAsia="en-GB"/>
        </w:rPr>
        <w:t xml:space="preserve"> Cold War</w:t>
      </w:r>
      <w:r w:rsidR="00655064" w:rsidRPr="00A168D2">
        <w:rPr>
          <w:rFonts w:ascii="Bookman Old Style" w:eastAsia="Times New Roman" w:hAnsi="Bookman Old Style" w:cs="Calibri"/>
          <w:b/>
          <w:bCs/>
          <w:color w:val="222222"/>
          <w:w w:val="90"/>
          <w:lang w:eastAsia="en-GB"/>
        </w:rPr>
        <w:t xml:space="preserve"> </w:t>
      </w:r>
    </w:p>
    <w:p w14:paraId="69D6BF90" w14:textId="001B48D0" w:rsidR="007476CD" w:rsidRPr="00A168D2" w:rsidRDefault="00655064" w:rsidP="00655064">
      <w:pPr>
        <w:pStyle w:val="Default"/>
        <w:numPr>
          <w:ilvl w:val="0"/>
          <w:numId w:val="9"/>
        </w:numPr>
        <w:ind w:left="714" w:hanging="357"/>
        <w:rPr>
          <w:rFonts w:ascii="Bookman Old Style" w:eastAsia="Times New Roman" w:hAnsi="Bookman Old Style" w:cstheme="minorHAnsi"/>
          <w:w w:val="90"/>
          <w:lang w:eastAsia="en-GB"/>
        </w:rPr>
      </w:pPr>
      <w:r w:rsidRPr="00A168D2">
        <w:rPr>
          <w:rFonts w:ascii="Bookman Old Style" w:eastAsia="Times New Roman" w:hAnsi="Bookman Old Style" w:cs="Calibri"/>
          <w:color w:val="222222"/>
          <w:w w:val="90"/>
          <w:lang w:eastAsia="en-GB"/>
        </w:rPr>
        <w:t xml:space="preserve">Analysis of the post-Suez impact on each of the major imperial Dockyards </w:t>
      </w:r>
      <w:r w:rsidR="00094290">
        <w:rPr>
          <w:rFonts w:ascii="Bookman Old Style" w:eastAsia="Times New Roman" w:hAnsi="Bookman Old Style" w:cs="Calibri"/>
          <w:color w:val="222222"/>
          <w:w w:val="90"/>
          <w:lang w:eastAsia="en-GB"/>
        </w:rPr>
        <w:t>(</w:t>
      </w:r>
      <w:r w:rsidRPr="00A168D2">
        <w:rPr>
          <w:rFonts w:ascii="Bookman Old Style" w:eastAsia="Times New Roman" w:hAnsi="Bookman Old Style" w:cs="Calibri"/>
          <w:color w:val="222222"/>
          <w:w w:val="90"/>
          <w:lang w:eastAsia="en-GB"/>
        </w:rPr>
        <w:t>see below</w:t>
      </w:r>
      <w:r w:rsidR="00094290">
        <w:rPr>
          <w:rFonts w:ascii="Bookman Old Style" w:eastAsia="Times New Roman" w:hAnsi="Bookman Old Style" w:cs="Calibri"/>
          <w:color w:val="222222"/>
          <w:w w:val="90"/>
          <w:lang w:eastAsia="en-GB"/>
        </w:rPr>
        <w:t>)</w:t>
      </w:r>
    </w:p>
    <w:p w14:paraId="2FE60692" w14:textId="7A0903C4" w:rsidR="00B43091" w:rsidRPr="00A168D2" w:rsidRDefault="008E64F9" w:rsidP="000067FC">
      <w:pPr>
        <w:pStyle w:val="Default"/>
        <w:numPr>
          <w:ilvl w:val="0"/>
          <w:numId w:val="9"/>
        </w:numPr>
        <w:rPr>
          <w:rFonts w:ascii="Bookman Old Style" w:eastAsia="Times New Roman" w:hAnsi="Bookman Old Style" w:cstheme="minorHAnsi"/>
          <w:w w:val="90"/>
          <w:lang w:eastAsia="en-GB"/>
        </w:rPr>
      </w:pPr>
      <w:r w:rsidRPr="00A168D2">
        <w:rPr>
          <w:rFonts w:ascii="Bookman Old Style" w:eastAsia="Times New Roman" w:hAnsi="Bookman Old Style" w:cstheme="minorHAnsi"/>
          <w:w w:val="90"/>
          <w:lang w:eastAsia="en-GB"/>
        </w:rPr>
        <w:t xml:space="preserve">Political, </w:t>
      </w:r>
      <w:r w:rsidRPr="00A168D2">
        <w:rPr>
          <w:rFonts w:ascii="Bookman Old Style" w:eastAsia="Times New Roman" w:hAnsi="Bookman Old Style" w:cs="Calibri"/>
          <w:color w:val="222222"/>
          <w:w w:val="90"/>
          <w:lang w:eastAsia="en-GB"/>
        </w:rPr>
        <w:t>local, social and economic effects</w:t>
      </w:r>
      <w:r w:rsidR="007476CD" w:rsidRPr="00A168D2">
        <w:rPr>
          <w:rFonts w:ascii="Bookman Old Style" w:eastAsia="Times New Roman" w:hAnsi="Bookman Old Style" w:cstheme="minorHAnsi"/>
          <w:w w:val="90"/>
          <w:lang w:eastAsia="en-GB"/>
        </w:rPr>
        <w:t xml:space="preserve"> of Suez on</w:t>
      </w:r>
      <w:r w:rsidR="000129D0" w:rsidRPr="00A168D2">
        <w:rPr>
          <w:rFonts w:ascii="Bookman Old Style" w:eastAsia="Times New Roman" w:hAnsi="Bookman Old Style" w:cstheme="minorHAnsi"/>
          <w:w w:val="90"/>
          <w:lang w:eastAsia="en-GB"/>
        </w:rPr>
        <w:t xml:space="preserve"> dockyards and shipyards</w:t>
      </w:r>
      <w:r w:rsidR="00B43091" w:rsidRPr="00A168D2">
        <w:rPr>
          <w:rFonts w:ascii="Bookman Old Style" w:eastAsia="Times New Roman" w:hAnsi="Bookman Old Style" w:cstheme="minorHAnsi"/>
          <w:w w:val="90"/>
          <w:lang w:eastAsia="en-GB"/>
        </w:rPr>
        <w:t xml:space="preserve"> globally</w:t>
      </w:r>
    </w:p>
    <w:p w14:paraId="6BB7151E" w14:textId="717A6225" w:rsidR="000067FC" w:rsidRPr="00A168D2" w:rsidRDefault="0094533F" w:rsidP="000067FC">
      <w:pPr>
        <w:pStyle w:val="Default"/>
        <w:numPr>
          <w:ilvl w:val="0"/>
          <w:numId w:val="9"/>
        </w:numPr>
        <w:rPr>
          <w:rFonts w:ascii="Bookman Old Style" w:eastAsia="Times New Roman" w:hAnsi="Bookman Old Style" w:cstheme="minorHAnsi"/>
          <w:w w:val="90"/>
          <w:lang w:eastAsia="en-GB"/>
        </w:rPr>
      </w:pPr>
      <w:r w:rsidRPr="00A168D2">
        <w:rPr>
          <w:rFonts w:ascii="Bookman Old Style" w:eastAsia="Times New Roman" w:hAnsi="Bookman Old Style" w:cs="Calibri"/>
          <w:color w:val="222222"/>
          <w:w w:val="90"/>
          <w:lang w:eastAsia="en-GB"/>
        </w:rPr>
        <w:t>Global s</w:t>
      </w:r>
      <w:r w:rsidR="00B43091" w:rsidRPr="00A168D2">
        <w:rPr>
          <w:rFonts w:ascii="Bookman Old Style" w:eastAsia="Times New Roman" w:hAnsi="Bookman Old Style" w:cs="Calibri"/>
          <w:color w:val="222222"/>
          <w:w w:val="90"/>
          <w:lang w:eastAsia="en-GB"/>
        </w:rPr>
        <w:t xml:space="preserve">trategic </w:t>
      </w:r>
      <w:r w:rsidR="00982313" w:rsidRPr="00A168D2">
        <w:rPr>
          <w:rFonts w:ascii="Bookman Old Style" w:eastAsia="Times New Roman" w:hAnsi="Bookman Old Style" w:cs="Calibri"/>
          <w:color w:val="222222"/>
          <w:w w:val="90"/>
          <w:lang w:eastAsia="en-GB"/>
        </w:rPr>
        <w:t>threats and opportunities</w:t>
      </w:r>
      <w:r w:rsidR="00B43091" w:rsidRPr="00A168D2">
        <w:rPr>
          <w:rFonts w:ascii="Bookman Old Style" w:eastAsia="Times New Roman" w:hAnsi="Bookman Old Style" w:cs="Calibri"/>
          <w:color w:val="222222"/>
          <w:w w:val="90"/>
          <w:lang w:eastAsia="en-GB"/>
        </w:rPr>
        <w:t xml:space="preserve"> arising from Suez</w:t>
      </w:r>
    </w:p>
    <w:p w14:paraId="219C584A" w14:textId="6FC91E9E" w:rsidR="00B0314D" w:rsidRPr="00A168D2" w:rsidRDefault="000A7222" w:rsidP="00995281">
      <w:pPr>
        <w:pStyle w:val="Default"/>
        <w:numPr>
          <w:ilvl w:val="0"/>
          <w:numId w:val="9"/>
        </w:numPr>
        <w:rPr>
          <w:rFonts w:ascii="Bookman Old Style" w:eastAsia="Times New Roman" w:hAnsi="Bookman Old Style" w:cstheme="minorHAnsi"/>
          <w:w w:val="90"/>
          <w:lang w:eastAsia="en-GB"/>
        </w:rPr>
      </w:pPr>
      <w:r w:rsidRPr="00A168D2">
        <w:rPr>
          <w:rFonts w:ascii="Bookman Old Style" w:hAnsi="Bookman Old Style" w:cs="Calibri"/>
          <w:color w:val="222222"/>
          <w:w w:val="90"/>
        </w:rPr>
        <w:t xml:space="preserve">Suez </w:t>
      </w:r>
      <w:r w:rsidR="00AF2B05" w:rsidRPr="00A168D2">
        <w:rPr>
          <w:rFonts w:ascii="Bookman Old Style" w:eastAsia="Times New Roman" w:hAnsi="Bookman Old Style" w:cstheme="minorHAnsi"/>
          <w:w w:val="90"/>
          <w:lang w:eastAsia="en-GB"/>
        </w:rPr>
        <w:t>accelerat</w:t>
      </w:r>
      <w:r w:rsidRPr="00A168D2">
        <w:rPr>
          <w:rFonts w:ascii="Bookman Old Style" w:eastAsia="Times New Roman" w:hAnsi="Bookman Old Style" w:cstheme="minorHAnsi"/>
          <w:w w:val="90"/>
          <w:lang w:eastAsia="en-GB"/>
        </w:rPr>
        <w:t>ed the</w:t>
      </w:r>
      <w:r w:rsidR="00AF2B05" w:rsidRPr="00A168D2">
        <w:rPr>
          <w:rFonts w:ascii="Bookman Old Style" w:eastAsia="Times New Roman" w:hAnsi="Bookman Old Style" w:cstheme="minorHAnsi"/>
          <w:w w:val="90"/>
          <w:lang w:eastAsia="en-GB"/>
        </w:rPr>
        <w:t xml:space="preserve"> g</w:t>
      </w:r>
      <w:r w:rsidR="001B7B9E" w:rsidRPr="00A168D2">
        <w:rPr>
          <w:rFonts w:ascii="Bookman Old Style" w:eastAsia="Times New Roman" w:hAnsi="Bookman Old Style" w:cstheme="minorHAnsi"/>
          <w:w w:val="90"/>
          <w:lang w:eastAsia="en-GB"/>
        </w:rPr>
        <w:t>lobal</w:t>
      </w:r>
      <w:r w:rsidR="00995281" w:rsidRPr="00A168D2">
        <w:rPr>
          <w:rFonts w:ascii="Bookman Old Style" w:eastAsia="Times New Roman" w:hAnsi="Bookman Old Style" w:cstheme="minorHAnsi"/>
          <w:w w:val="90"/>
          <w:lang w:eastAsia="en-GB"/>
        </w:rPr>
        <w:t xml:space="preserve"> power shift from Brit</w:t>
      </w:r>
      <w:r w:rsidR="00500317" w:rsidRPr="00A168D2">
        <w:rPr>
          <w:rFonts w:ascii="Bookman Old Style" w:eastAsia="Times New Roman" w:hAnsi="Bookman Old Style" w:cstheme="minorHAnsi"/>
          <w:w w:val="90"/>
          <w:lang w:eastAsia="en-GB"/>
        </w:rPr>
        <w:t>ain</w:t>
      </w:r>
      <w:r w:rsidR="00995281" w:rsidRPr="00A168D2">
        <w:rPr>
          <w:rFonts w:ascii="Bookman Old Style" w:eastAsia="Times New Roman" w:hAnsi="Bookman Old Style" w:cstheme="minorHAnsi"/>
          <w:w w:val="90"/>
          <w:lang w:eastAsia="en-GB"/>
        </w:rPr>
        <w:t xml:space="preserve"> to the U</w:t>
      </w:r>
      <w:r w:rsidR="0094533F" w:rsidRPr="00A168D2">
        <w:rPr>
          <w:rFonts w:ascii="Bookman Old Style" w:eastAsia="Times New Roman" w:hAnsi="Bookman Old Style" w:cstheme="minorHAnsi"/>
          <w:w w:val="90"/>
          <w:lang w:eastAsia="en-GB"/>
        </w:rPr>
        <w:t xml:space="preserve">nited </w:t>
      </w:r>
      <w:r w:rsidR="00995281" w:rsidRPr="00A168D2">
        <w:rPr>
          <w:rFonts w:ascii="Bookman Old Style" w:eastAsia="Times New Roman" w:hAnsi="Bookman Old Style" w:cstheme="minorHAnsi"/>
          <w:w w:val="90"/>
          <w:lang w:eastAsia="en-GB"/>
        </w:rPr>
        <w:t>S</w:t>
      </w:r>
      <w:r w:rsidR="0094533F" w:rsidRPr="00A168D2">
        <w:rPr>
          <w:rFonts w:ascii="Bookman Old Style" w:eastAsia="Times New Roman" w:hAnsi="Bookman Old Style" w:cstheme="minorHAnsi"/>
          <w:w w:val="90"/>
          <w:lang w:eastAsia="en-GB"/>
        </w:rPr>
        <w:t>tates</w:t>
      </w:r>
      <w:r w:rsidR="003F7DC3" w:rsidRPr="00A168D2">
        <w:rPr>
          <w:rFonts w:ascii="Bookman Old Style" w:eastAsia="Times New Roman" w:hAnsi="Bookman Old Style" w:cstheme="minorHAnsi"/>
          <w:w w:val="90"/>
          <w:lang w:eastAsia="en-GB"/>
        </w:rPr>
        <w:t xml:space="preserve"> </w:t>
      </w:r>
      <w:r w:rsidR="00681D37" w:rsidRPr="00A168D2">
        <w:rPr>
          <w:rFonts w:ascii="Bookman Old Style" w:eastAsia="Times New Roman" w:hAnsi="Bookman Old Style" w:cstheme="minorHAnsi"/>
          <w:w w:val="90"/>
          <w:lang w:eastAsia="en-GB"/>
        </w:rPr>
        <w:t>–</w:t>
      </w:r>
      <w:r w:rsidR="003F7DC3" w:rsidRPr="00A168D2">
        <w:rPr>
          <w:rFonts w:ascii="Bookman Old Style" w:eastAsia="Times New Roman" w:hAnsi="Bookman Old Style" w:cstheme="minorHAnsi"/>
          <w:w w:val="90"/>
          <w:lang w:eastAsia="en-GB"/>
        </w:rPr>
        <w:t xml:space="preserve"> </w:t>
      </w:r>
      <w:r w:rsidR="005F124F" w:rsidRPr="00A168D2">
        <w:rPr>
          <w:rFonts w:ascii="Bookman Old Style" w:eastAsia="Times New Roman" w:hAnsi="Bookman Old Style" w:cstheme="minorHAnsi"/>
          <w:w w:val="90"/>
          <w:lang w:eastAsia="en-GB"/>
        </w:rPr>
        <w:t>evidence</w:t>
      </w:r>
      <w:r w:rsidR="00681D37" w:rsidRPr="00A168D2">
        <w:rPr>
          <w:rFonts w:ascii="Bookman Old Style" w:eastAsia="Times New Roman" w:hAnsi="Bookman Old Style" w:cstheme="minorHAnsi"/>
          <w:w w:val="90"/>
          <w:lang w:eastAsia="en-GB"/>
        </w:rPr>
        <w:t>?</w:t>
      </w:r>
    </w:p>
    <w:p w14:paraId="0C333566" w14:textId="77777777" w:rsidR="00655064" w:rsidRPr="00A168D2" w:rsidRDefault="00655064" w:rsidP="00655064">
      <w:pPr>
        <w:spacing w:after="0" w:line="240" w:lineRule="auto"/>
        <w:outlineLvl w:val="0"/>
        <w:rPr>
          <w:rFonts w:ascii="Bookman Old Style" w:eastAsia="Times New Roman" w:hAnsi="Bookman Old Style" w:cs="Calibri"/>
          <w:b/>
          <w:bCs/>
          <w:color w:val="222222"/>
          <w:w w:val="90"/>
          <w:sz w:val="24"/>
          <w:szCs w:val="24"/>
          <w:lang w:eastAsia="en-GB"/>
        </w:rPr>
      </w:pPr>
    </w:p>
    <w:p w14:paraId="57BDDF01" w14:textId="08E077FA" w:rsidR="00B87D44" w:rsidRPr="00A168D2" w:rsidRDefault="00B87D44" w:rsidP="00655064">
      <w:pPr>
        <w:spacing w:after="0" w:line="240" w:lineRule="auto"/>
        <w:outlineLvl w:val="0"/>
        <w:rPr>
          <w:rFonts w:ascii="Bookman Old Style" w:eastAsia="Times New Roman" w:hAnsi="Bookman Old Style" w:cs="Calibri"/>
          <w:b/>
          <w:bCs/>
          <w:color w:val="222222"/>
          <w:w w:val="90"/>
          <w:sz w:val="24"/>
          <w:szCs w:val="24"/>
          <w:lang w:eastAsia="en-GB"/>
        </w:rPr>
      </w:pPr>
      <w:r w:rsidRPr="00A168D2">
        <w:rPr>
          <w:rFonts w:ascii="Bookman Old Style" w:eastAsia="Times New Roman" w:hAnsi="Bookman Old Style" w:cs="Calibri"/>
          <w:b/>
          <w:bCs/>
          <w:color w:val="222222"/>
          <w:w w:val="90"/>
          <w:sz w:val="24"/>
          <w:szCs w:val="24"/>
          <w:lang w:eastAsia="en-GB"/>
        </w:rPr>
        <w:t xml:space="preserve">Proposals could </w:t>
      </w:r>
      <w:r w:rsidR="00655064" w:rsidRPr="00A168D2">
        <w:rPr>
          <w:rFonts w:ascii="Bookman Old Style" w:eastAsia="Times New Roman" w:hAnsi="Bookman Old Style" w:cs="Calibri"/>
          <w:b/>
          <w:bCs/>
          <w:color w:val="222222"/>
          <w:w w:val="90"/>
          <w:sz w:val="24"/>
          <w:szCs w:val="24"/>
          <w:lang w:eastAsia="en-GB"/>
        </w:rPr>
        <w:t>address</w:t>
      </w:r>
      <w:r w:rsidR="00A168D2">
        <w:rPr>
          <w:rFonts w:ascii="Bookman Old Style" w:eastAsia="Times New Roman" w:hAnsi="Bookman Old Style" w:cs="Calibri"/>
          <w:b/>
          <w:bCs/>
          <w:color w:val="222222"/>
          <w:w w:val="90"/>
          <w:sz w:val="24"/>
          <w:szCs w:val="24"/>
          <w:lang w:eastAsia="en-GB"/>
        </w:rPr>
        <w:t>:</w:t>
      </w:r>
    </w:p>
    <w:p w14:paraId="2A210EE5" w14:textId="74A3AD4F" w:rsidR="00B87D44" w:rsidRPr="00A168D2" w:rsidRDefault="00655064" w:rsidP="00A168D2">
      <w:pPr>
        <w:numPr>
          <w:ilvl w:val="0"/>
          <w:numId w:val="12"/>
        </w:numPr>
        <w:shd w:val="clear" w:color="auto" w:fill="FFFFFF"/>
        <w:spacing w:before="120" w:after="0" w:line="240" w:lineRule="auto"/>
        <w:ind w:left="714" w:hanging="357"/>
        <w:rPr>
          <w:rFonts w:ascii="Bookman Old Style" w:eastAsia="Times New Roman" w:hAnsi="Bookman Old Style" w:cs="Calibri"/>
          <w:color w:val="222222"/>
          <w:w w:val="90"/>
          <w:sz w:val="24"/>
          <w:szCs w:val="24"/>
          <w:lang w:eastAsia="en-GB"/>
        </w:rPr>
      </w:pPr>
      <w:r w:rsidRPr="00A168D2">
        <w:rPr>
          <w:rFonts w:ascii="Bookman Old Style" w:eastAsia="Times New Roman" w:hAnsi="Bookman Old Style" w:cs="Calibri"/>
          <w:color w:val="222222"/>
          <w:w w:val="90"/>
          <w:sz w:val="24"/>
          <w:szCs w:val="24"/>
          <w:lang w:eastAsia="en-GB"/>
        </w:rPr>
        <w:t>From</w:t>
      </w:r>
      <w:r w:rsidR="00B87D44" w:rsidRPr="00A168D2">
        <w:rPr>
          <w:rFonts w:ascii="Bookman Old Style" w:eastAsia="Times New Roman" w:hAnsi="Bookman Old Style" w:cs="Calibri"/>
          <w:color w:val="222222"/>
          <w:w w:val="90"/>
          <w:sz w:val="24"/>
          <w:szCs w:val="24"/>
          <w:lang w:eastAsia="en-GB"/>
        </w:rPr>
        <w:t xml:space="preserve"> end of Empire t</w:t>
      </w:r>
      <w:r w:rsidRPr="00A168D2">
        <w:rPr>
          <w:rFonts w:ascii="Bookman Old Style" w:eastAsia="Times New Roman" w:hAnsi="Bookman Old Style" w:cs="Calibri"/>
          <w:color w:val="222222"/>
          <w:w w:val="90"/>
          <w:sz w:val="24"/>
          <w:szCs w:val="24"/>
          <w:lang w:eastAsia="en-GB"/>
        </w:rPr>
        <w:t>o</w:t>
      </w:r>
      <w:r w:rsidR="00B87D44" w:rsidRPr="00A168D2">
        <w:rPr>
          <w:rFonts w:ascii="Bookman Old Style" w:eastAsia="Times New Roman" w:hAnsi="Bookman Old Style" w:cs="Calibri"/>
          <w:color w:val="222222"/>
          <w:w w:val="90"/>
          <w:sz w:val="24"/>
          <w:szCs w:val="24"/>
          <w:lang w:eastAsia="en-GB"/>
        </w:rPr>
        <w:t xml:space="preserve"> a global network of purpose-built, imperial logistics hubs</w:t>
      </w:r>
      <w:r w:rsidRPr="00A168D2">
        <w:rPr>
          <w:rFonts w:ascii="Bookman Old Style" w:eastAsia="Times New Roman" w:hAnsi="Bookman Old Style" w:cs="Calibri"/>
          <w:color w:val="222222"/>
          <w:w w:val="90"/>
          <w:sz w:val="24"/>
          <w:szCs w:val="24"/>
          <w:lang w:eastAsia="en-GB"/>
        </w:rPr>
        <w:t>:</w:t>
      </w:r>
      <w:r w:rsidR="00B87D44" w:rsidRPr="00A168D2">
        <w:rPr>
          <w:rFonts w:ascii="Bookman Old Style" w:eastAsia="Times New Roman" w:hAnsi="Bookman Old Style" w:cs="Calibri"/>
          <w:color w:val="222222"/>
          <w:w w:val="90"/>
          <w:sz w:val="24"/>
          <w:szCs w:val="24"/>
          <w:lang w:eastAsia="en-GB"/>
        </w:rPr>
        <w:t xml:space="preserve"> a </w:t>
      </w:r>
      <w:r w:rsidRPr="00A168D2">
        <w:rPr>
          <w:rFonts w:ascii="Bookman Old Style" w:eastAsia="Times New Roman" w:hAnsi="Bookman Old Style" w:cs="Calibri"/>
          <w:color w:val="222222"/>
          <w:w w:val="90"/>
          <w:sz w:val="24"/>
          <w:szCs w:val="24"/>
          <w:lang w:eastAsia="en-GB"/>
        </w:rPr>
        <w:t>structure</w:t>
      </w:r>
      <w:r w:rsidR="00B87D44" w:rsidRPr="00A168D2">
        <w:rPr>
          <w:rFonts w:ascii="Bookman Old Style" w:eastAsia="Times New Roman" w:hAnsi="Bookman Old Style" w:cs="Calibri"/>
          <w:color w:val="222222"/>
          <w:w w:val="90"/>
          <w:sz w:val="24"/>
          <w:szCs w:val="24"/>
          <w:lang w:eastAsia="en-GB"/>
        </w:rPr>
        <w:t xml:space="preserve"> of continued UK home bases with reduced roles (Portsmouth, Devonport</w:t>
      </w:r>
      <w:r w:rsidR="00F02CFF">
        <w:rPr>
          <w:rFonts w:ascii="Bookman Old Style" w:eastAsia="Times New Roman" w:hAnsi="Bookman Old Style" w:cs="Calibri"/>
          <w:color w:val="222222"/>
          <w:w w:val="90"/>
          <w:sz w:val="24"/>
          <w:szCs w:val="24"/>
          <w:lang w:eastAsia="en-GB"/>
        </w:rPr>
        <w:t>, Rosyth</w:t>
      </w:r>
      <w:r w:rsidR="00B87D44" w:rsidRPr="00A168D2">
        <w:rPr>
          <w:rFonts w:ascii="Bookman Old Style" w:eastAsia="Times New Roman" w:hAnsi="Bookman Old Style" w:cs="Calibri"/>
          <w:color w:val="222222"/>
          <w:w w:val="90"/>
          <w:sz w:val="24"/>
          <w:szCs w:val="24"/>
          <w:lang w:eastAsia="en-GB"/>
        </w:rPr>
        <w:t xml:space="preserve">), national assets transferred to successor states (Bombay, Trincomalee, Simon’s Town), downsized or closed precincts repurposed for civilian/heritage use (Chatham, </w:t>
      </w:r>
      <w:r w:rsidR="00B87D44" w:rsidRPr="00A168D2">
        <w:rPr>
          <w:rFonts w:ascii="Bookman Old Style" w:eastAsia="Times New Roman" w:hAnsi="Bookman Old Style" w:cs="Calibri"/>
          <w:color w:val="222222"/>
          <w:w w:val="90"/>
          <w:sz w:val="24"/>
          <w:szCs w:val="24"/>
          <w:lang w:eastAsia="en-GB"/>
        </w:rPr>
        <w:lastRenderedPageBreak/>
        <w:t>Bermuda), and territories retaining strategic value but with a reconfigured political status (Gibraltar, Malta, Hong Kong).</w:t>
      </w:r>
    </w:p>
    <w:p w14:paraId="51451F63" w14:textId="77777777" w:rsidR="00B87D44" w:rsidRPr="00A168D2" w:rsidRDefault="00B87D44" w:rsidP="00A168D2">
      <w:pPr>
        <w:numPr>
          <w:ilvl w:val="0"/>
          <w:numId w:val="12"/>
        </w:numPr>
        <w:shd w:val="clear" w:color="auto" w:fill="FFFFFF"/>
        <w:spacing w:before="120" w:after="0" w:line="240" w:lineRule="auto"/>
        <w:ind w:left="714" w:hanging="357"/>
        <w:rPr>
          <w:rFonts w:ascii="Bookman Old Style" w:eastAsia="Times New Roman" w:hAnsi="Bookman Old Style" w:cs="Calibri"/>
          <w:color w:val="222222"/>
          <w:w w:val="90"/>
          <w:sz w:val="24"/>
          <w:szCs w:val="24"/>
          <w:lang w:eastAsia="en-GB"/>
        </w:rPr>
      </w:pPr>
      <w:r w:rsidRPr="00A168D2">
        <w:rPr>
          <w:rFonts w:ascii="Bookman Old Style" w:eastAsia="Times New Roman" w:hAnsi="Bookman Old Style" w:cs="Calibri"/>
          <w:color w:val="222222"/>
          <w:w w:val="90"/>
          <w:sz w:val="24"/>
          <w:szCs w:val="24"/>
          <w:lang w:eastAsia="en-GB"/>
        </w:rPr>
        <w:t>Economically and socially, dockyard communities across the Empire faced job losses, skill reallocation and identity shifts — from imperial industrial towns to local maritime economies and heritage economies. Strategically, the network’s contraction mirrored Britain’s movement from unilateral global actor to a state operating within alliance frameworks (especially US/NATO)</w:t>
      </w:r>
    </w:p>
    <w:p w14:paraId="54DA0979" w14:textId="2D0C67A5" w:rsidR="00B87D44" w:rsidRPr="00A168D2" w:rsidRDefault="00A168D2" w:rsidP="00A168D2">
      <w:pPr>
        <w:shd w:val="clear" w:color="auto" w:fill="FFFFFF"/>
        <w:spacing w:before="240" w:after="0" w:line="240" w:lineRule="auto"/>
        <w:rPr>
          <w:rFonts w:ascii="Bookman Old Style" w:eastAsia="Times New Roman" w:hAnsi="Bookman Old Style" w:cs="Calibri"/>
          <w:b/>
          <w:bCs/>
          <w:color w:val="222222"/>
          <w:w w:val="90"/>
          <w:sz w:val="24"/>
          <w:szCs w:val="24"/>
          <w:lang w:eastAsia="en-GB"/>
        </w:rPr>
      </w:pPr>
      <w:r w:rsidRPr="00A168D2">
        <w:rPr>
          <w:rFonts w:ascii="Bookman Old Style" w:eastAsia="Times New Roman" w:hAnsi="Bookman Old Style" w:cs="Calibri"/>
          <w:b/>
          <w:bCs/>
          <w:color w:val="222222"/>
          <w:w w:val="90"/>
          <w:sz w:val="24"/>
          <w:szCs w:val="24"/>
          <w:lang w:eastAsia="en-GB"/>
        </w:rPr>
        <w:t>S</w:t>
      </w:r>
      <w:r w:rsidR="00B87D44" w:rsidRPr="00A168D2">
        <w:rPr>
          <w:rFonts w:ascii="Bookman Old Style" w:eastAsia="Times New Roman" w:hAnsi="Bookman Old Style" w:cs="Calibri"/>
          <w:b/>
          <w:bCs/>
          <w:color w:val="222222"/>
          <w:w w:val="90"/>
          <w:sz w:val="24"/>
          <w:szCs w:val="24"/>
          <w:lang w:eastAsia="en-GB"/>
        </w:rPr>
        <w:t>ummary of specific Dockyard post Suez</w:t>
      </w:r>
      <w:r>
        <w:rPr>
          <w:rFonts w:ascii="Bookman Old Style" w:eastAsia="Times New Roman" w:hAnsi="Bookman Old Style" w:cs="Calibri"/>
          <w:b/>
          <w:bCs/>
          <w:color w:val="222222"/>
          <w:w w:val="90"/>
          <w:sz w:val="24"/>
          <w:szCs w:val="24"/>
          <w:lang w:eastAsia="en-GB"/>
        </w:rPr>
        <w:t>-</w:t>
      </w:r>
      <w:r w:rsidR="00B87D44" w:rsidRPr="00A168D2">
        <w:rPr>
          <w:rFonts w:ascii="Bookman Old Style" w:eastAsia="Times New Roman" w:hAnsi="Bookman Old Style" w:cs="Calibri"/>
          <w:b/>
          <w:bCs/>
          <w:color w:val="222222"/>
          <w:w w:val="90"/>
          <w:sz w:val="24"/>
          <w:szCs w:val="24"/>
          <w:lang w:eastAsia="en-GB"/>
        </w:rPr>
        <w:t>impacts and adaptations</w:t>
      </w:r>
    </w:p>
    <w:p w14:paraId="7E9D3A59" w14:textId="0ECD0B2D" w:rsidR="00B87D44" w:rsidRPr="00A168D2" w:rsidRDefault="00B87D44" w:rsidP="00A168D2">
      <w:pPr>
        <w:spacing w:before="120" w:after="0" w:line="240" w:lineRule="auto"/>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Bermuda (Ireland Island)</w:t>
      </w:r>
    </w:p>
    <w:p w14:paraId="70D455F3" w14:textId="77777777" w:rsidR="00B87D44" w:rsidRPr="00A168D2" w:rsidRDefault="00B87D44" w:rsidP="00A168D2">
      <w:pPr>
        <w:numPr>
          <w:ilvl w:val="0"/>
          <w:numId w:val="14"/>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Imperial role: Western Atlantic fortress and dockyard supporting North America &amp; West Indies Station — major logistics and repair facility.</w:t>
      </w:r>
    </w:p>
    <w:p w14:paraId="1CF24197" w14:textId="77777777" w:rsidR="00B87D44" w:rsidRPr="00A168D2" w:rsidRDefault="00B87D44" w:rsidP="00A168D2">
      <w:pPr>
        <w:numPr>
          <w:ilvl w:val="0"/>
          <w:numId w:val="14"/>
        </w:numPr>
        <w:spacing w:after="0"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Mid-20th century consolidation of imperial bases and changing global strategy led to closure or severe reduction of dockyard activities.</w:t>
      </w:r>
    </w:p>
    <w:p w14:paraId="14CB1081" w14:textId="77777777" w:rsidR="00B87D44" w:rsidRPr="00A168D2" w:rsidRDefault="00B87D44" w:rsidP="00B87D44">
      <w:pPr>
        <w:numPr>
          <w:ilvl w:val="0"/>
          <w:numId w:val="14"/>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Local/social/economic effects: Economic impact from downsizing of military employment; communities had to adapt via redevelopment, tourism and new commercial maritime activity.</w:t>
      </w:r>
    </w:p>
    <w:p w14:paraId="4D44E5C0" w14:textId="77777777" w:rsidR="00B87D44" w:rsidRPr="00A168D2" w:rsidRDefault="00B87D44" w:rsidP="00B87D44">
      <w:pPr>
        <w:numPr>
          <w:ilvl w:val="0"/>
          <w:numId w:val="14"/>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Reconfiguration: Former dockyard precincts were eventually repurposed for civilian uses, heritage tourism and local industry; the strategic imperial function ended.</w:t>
      </w:r>
    </w:p>
    <w:p w14:paraId="017B0151" w14:textId="77777777" w:rsidR="00B87D44" w:rsidRPr="00A168D2" w:rsidRDefault="00B87D44" w:rsidP="00A168D2">
      <w:pPr>
        <w:spacing w:after="0" w:line="240" w:lineRule="auto"/>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Bombay (Mumbai, India)</w:t>
      </w:r>
    </w:p>
    <w:p w14:paraId="66EE2A4F" w14:textId="77777777" w:rsidR="00B87D44" w:rsidRPr="00A168D2" w:rsidRDefault="00B87D44" w:rsidP="00A168D2">
      <w:pPr>
        <w:numPr>
          <w:ilvl w:val="0"/>
          <w:numId w:val="15"/>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Imperial role: Major shipbuilding and repair centre on India’s west coast, supporting the Royal Navy’s presence in the Indian Ocean.</w:t>
      </w:r>
    </w:p>
    <w:p w14:paraId="59DA0725" w14:textId="77777777" w:rsidR="00B87D44" w:rsidRPr="00A168D2" w:rsidRDefault="00B87D44" w:rsidP="00B87D44">
      <w:pPr>
        <w:numPr>
          <w:ilvl w:val="0"/>
          <w:numId w:val="15"/>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Indian independence transferred authority to a national navy; British dockyard prominence declined as local institutions expanded ownership and control.</w:t>
      </w:r>
    </w:p>
    <w:p w14:paraId="1C50F1B5" w14:textId="77777777" w:rsidR="00B87D44" w:rsidRPr="00A168D2" w:rsidRDefault="00B87D44" w:rsidP="00B87D44">
      <w:pPr>
        <w:numPr>
          <w:ilvl w:val="0"/>
          <w:numId w:val="15"/>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Local/social/economic effects: Skilled dockyard labour and technical expertise were retained locally but redirected to building the Indian Navy and civil shipping; the dockyard formed part of India’s nascent maritime industrial capacity.</w:t>
      </w:r>
    </w:p>
    <w:p w14:paraId="6855695E" w14:textId="77777777" w:rsidR="00B87D44" w:rsidRPr="00A168D2" w:rsidRDefault="00B87D44" w:rsidP="00B87D44">
      <w:pPr>
        <w:numPr>
          <w:ilvl w:val="0"/>
          <w:numId w:val="15"/>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Reconfiguration: Became integrated into the infrastructure of an independent Indian state and its navy, while civilian shipbuilding and repair flourished under local direction.</w:t>
      </w:r>
    </w:p>
    <w:p w14:paraId="3046206C" w14:textId="0BBFAE9D" w:rsidR="00B87D44" w:rsidRPr="00A168D2" w:rsidRDefault="00B87D44" w:rsidP="00A168D2">
      <w:pPr>
        <w:spacing w:after="0" w:line="240" w:lineRule="auto"/>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Chatham (UK)</w:t>
      </w:r>
    </w:p>
    <w:p w14:paraId="0D569AB1" w14:textId="77777777" w:rsidR="00B87D44" w:rsidRPr="00A168D2" w:rsidRDefault="00B87D44" w:rsidP="00A168D2">
      <w:pPr>
        <w:numPr>
          <w:ilvl w:val="0"/>
          <w:numId w:val="13"/>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Imperial role: Important shipbuilding and fitting-out yard for the Channel/North Sea fleets and a long naval tradition.</w:t>
      </w:r>
    </w:p>
    <w:p w14:paraId="4E792867" w14:textId="77777777" w:rsidR="00B87D44" w:rsidRPr="00A168D2" w:rsidRDefault="00B87D44" w:rsidP="00B87D44">
      <w:pPr>
        <w:numPr>
          <w:ilvl w:val="0"/>
          <w:numId w:val="13"/>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Decline in strategic necessity and centralisation of facilities led to progressive run-down; industrial closures followed.</w:t>
      </w:r>
    </w:p>
    <w:p w14:paraId="190FE8CA" w14:textId="77777777" w:rsidR="00B87D44" w:rsidRPr="00A168D2" w:rsidRDefault="00B87D44" w:rsidP="00B87D44">
      <w:pPr>
        <w:numPr>
          <w:ilvl w:val="0"/>
          <w:numId w:val="13"/>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Local/social/economic effects: Loss of skilled jobs, community disruption, and the need to find alternative employment pathways; later regeneration efforts focused on mixed-use redevelopment.</w:t>
      </w:r>
    </w:p>
    <w:p w14:paraId="55B21BE5" w14:textId="77777777" w:rsidR="00B87D44" w:rsidRPr="00A168D2" w:rsidRDefault="00B87D44" w:rsidP="00A168D2">
      <w:pPr>
        <w:spacing w:after="0" w:line="240" w:lineRule="auto"/>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Devonport (Plymouth, UK)</w:t>
      </w:r>
    </w:p>
    <w:p w14:paraId="2CE50858" w14:textId="77777777" w:rsidR="00B87D44" w:rsidRPr="00A168D2" w:rsidRDefault="00B87D44" w:rsidP="00A168D2">
      <w:pPr>
        <w:numPr>
          <w:ilvl w:val="0"/>
          <w:numId w:val="11"/>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Imperial role: Major western fleet base, submarine and surface ship refit and repair; key Atlantic support hub.</w:t>
      </w:r>
    </w:p>
    <w:p w14:paraId="697DDDE0" w14:textId="77777777" w:rsidR="00B87D44" w:rsidRPr="00A168D2" w:rsidRDefault="00B87D44" w:rsidP="00B87D44">
      <w:pPr>
        <w:numPr>
          <w:ilvl w:val="0"/>
          <w:numId w:val="11"/>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Reduced overseas responsibilities led to rationalisation of dockyard infrastructure and workforce; focus moved towards submarines, nuclear support (later), and NATO tasking.</w:t>
      </w:r>
    </w:p>
    <w:p w14:paraId="1CB5C646" w14:textId="77777777" w:rsidR="00B87D44" w:rsidRPr="00A168D2" w:rsidRDefault="00B87D44" w:rsidP="00B87D44">
      <w:pPr>
        <w:numPr>
          <w:ilvl w:val="0"/>
          <w:numId w:val="11"/>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lastRenderedPageBreak/>
        <w:t>Local/social/economic effects: Significant employment changes; local economy pivoted to diversified defence contracting, maritime services and civilian port activity.</w:t>
      </w:r>
    </w:p>
    <w:p w14:paraId="0484347D" w14:textId="77777777" w:rsidR="00B87D44" w:rsidRPr="00A168D2" w:rsidRDefault="00B87D44" w:rsidP="00B87D44">
      <w:pPr>
        <w:numPr>
          <w:ilvl w:val="0"/>
          <w:numId w:val="11"/>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Reconfiguration: Remained a principal dockyard with specialised roles (e.g., submarine support); parts of the site repurposed for commercial and heritage uses.</w:t>
      </w:r>
    </w:p>
    <w:p w14:paraId="21119BC7" w14:textId="77777777" w:rsidR="00B87D44" w:rsidRPr="00A168D2" w:rsidRDefault="00B87D44" w:rsidP="00A168D2">
      <w:pPr>
        <w:spacing w:after="0" w:line="240" w:lineRule="auto"/>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Gibraltar</w:t>
      </w:r>
    </w:p>
    <w:p w14:paraId="3B91F091" w14:textId="77777777" w:rsidR="00B87D44" w:rsidRPr="00A168D2" w:rsidRDefault="00B87D44" w:rsidP="00A168D2">
      <w:pPr>
        <w:numPr>
          <w:ilvl w:val="0"/>
          <w:numId w:val="13"/>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Imperial role: Gatekeeper of the western Mediterranean — strategic coaling, repair and fleet anchorage guarding the Straits.</w:t>
      </w:r>
    </w:p>
    <w:p w14:paraId="68C6CB42" w14:textId="77777777" w:rsidR="00B87D44" w:rsidRPr="00A168D2" w:rsidRDefault="00B87D44" w:rsidP="00B87D44">
      <w:pPr>
        <w:numPr>
          <w:ilvl w:val="0"/>
          <w:numId w:val="13"/>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While strategic location remained important, the nature of the British presence shifted: reduced imperial patrols, more emphasis on regional NATO tasks and the political sensitivities of decolonisation.</w:t>
      </w:r>
    </w:p>
    <w:p w14:paraId="2D7081FD" w14:textId="77777777" w:rsidR="00B87D44" w:rsidRPr="00A168D2" w:rsidRDefault="00B87D44" w:rsidP="00B87D44">
      <w:pPr>
        <w:numPr>
          <w:ilvl w:val="0"/>
          <w:numId w:val="13"/>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Local/social/economic effects: Continued military presence sustained local employment, but economic adjustment included diversification into civilian port services, tourism and international finance.</w:t>
      </w:r>
    </w:p>
    <w:p w14:paraId="503786AC" w14:textId="77777777" w:rsidR="00B87D44" w:rsidRPr="00A168D2" w:rsidRDefault="00B87D44" w:rsidP="00B87D44">
      <w:pPr>
        <w:numPr>
          <w:ilvl w:val="0"/>
          <w:numId w:val="13"/>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Reconfiguration: Retained as a British Overseas Territory with a reduced but persistent military role and growing civilian maritime and tourism functions.</w:t>
      </w:r>
    </w:p>
    <w:p w14:paraId="7D36646D" w14:textId="77777777" w:rsidR="00B87D44" w:rsidRPr="00A168D2" w:rsidRDefault="00B87D44" w:rsidP="00B87D44">
      <w:pPr>
        <w:numPr>
          <w:ilvl w:val="0"/>
          <w:numId w:val="13"/>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Suggested speech title: “Gibraltar: Strategic Permanence and Post-Imperial Adaptation”</w:t>
      </w:r>
    </w:p>
    <w:p w14:paraId="3CABACD1" w14:textId="77777777" w:rsidR="00B87D44" w:rsidRPr="00A168D2" w:rsidRDefault="00B87D44" w:rsidP="00B87D44">
      <w:pPr>
        <w:numPr>
          <w:ilvl w:val="0"/>
          <w:numId w:val="13"/>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 xml:space="preserve">Reconfiguration: Much of the historic yard was closed/transformed and large portions </w:t>
      </w:r>
    </w:p>
    <w:p w14:paraId="331B101E" w14:textId="4380BBA6" w:rsidR="00B87D44" w:rsidRPr="00A168D2" w:rsidRDefault="00B87D44" w:rsidP="00B87D44">
      <w:pPr>
        <w:numPr>
          <w:ilvl w:val="0"/>
          <w:numId w:val="13"/>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repurposed for civilian redevelopment, heritage museums and cultural use.</w:t>
      </w:r>
    </w:p>
    <w:p w14:paraId="1453C36A" w14:textId="77777777" w:rsidR="00B87D44" w:rsidRPr="00A168D2" w:rsidRDefault="00B87D44" w:rsidP="00A168D2">
      <w:pPr>
        <w:spacing w:after="0" w:line="240" w:lineRule="auto"/>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Hong Kong (Victoria Harbour)</w:t>
      </w:r>
    </w:p>
    <w:p w14:paraId="6C7C6CE8" w14:textId="77777777" w:rsidR="00B87D44" w:rsidRPr="00A168D2" w:rsidRDefault="00B87D44" w:rsidP="00A168D2">
      <w:pPr>
        <w:numPr>
          <w:ilvl w:val="0"/>
          <w:numId w:val="18"/>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Imperial role: Principal Royal Navy base in the Far East — repair, resupply and regional command post for East Asian operations.</w:t>
      </w:r>
    </w:p>
    <w:p w14:paraId="7C6AF158" w14:textId="77777777" w:rsidR="00B87D44" w:rsidRPr="00A168D2" w:rsidRDefault="00B87D44" w:rsidP="00B87D44">
      <w:pPr>
        <w:numPr>
          <w:ilvl w:val="0"/>
          <w:numId w:val="18"/>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Political changes in East Asia and the eventual end of British sovereignty meant the imperial naval role wound down; dependence on alliance structures also altered operational priorities.</w:t>
      </w:r>
    </w:p>
    <w:p w14:paraId="2DB9C0EB" w14:textId="77777777" w:rsidR="00B87D44" w:rsidRPr="00A168D2" w:rsidRDefault="00B87D44" w:rsidP="00B87D44">
      <w:pPr>
        <w:numPr>
          <w:ilvl w:val="0"/>
          <w:numId w:val="18"/>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Local/social/economic effects: The naval withdrawal had implications for dockyard labour and local economies but coincided with Hong Kong’s own dynamic economic transformation which absorbed much labour into commercial sectors.</w:t>
      </w:r>
    </w:p>
    <w:p w14:paraId="4A2ACC44" w14:textId="77777777" w:rsidR="00B87D44" w:rsidRPr="00A168D2" w:rsidRDefault="00B87D44" w:rsidP="00B87D44">
      <w:pPr>
        <w:numPr>
          <w:ilvl w:val="0"/>
          <w:numId w:val="18"/>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Reconfiguration: Former naval facilities were relinquished as sovereignty ended; many sites were redeveloped for civilian or commercial use, while the city’s maritime economy followed a distinctly local trajectory.</w:t>
      </w:r>
    </w:p>
    <w:p w14:paraId="25877595" w14:textId="77777777" w:rsidR="00B87D44" w:rsidRPr="00A168D2" w:rsidRDefault="00B87D44" w:rsidP="00A168D2">
      <w:pPr>
        <w:spacing w:after="0" w:line="240" w:lineRule="auto"/>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Malta (Grand Harbour, Valletta)</w:t>
      </w:r>
    </w:p>
    <w:p w14:paraId="58B6A274" w14:textId="77777777" w:rsidR="00B87D44" w:rsidRPr="00A168D2" w:rsidRDefault="00B87D44" w:rsidP="00A168D2">
      <w:pPr>
        <w:numPr>
          <w:ilvl w:val="0"/>
          <w:numId w:val="20"/>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 xml:space="preserve">Imperial role: Mediterranean lynchpin — deep harbour for fleet anchorage, repair and logistics; central to </w:t>
      </w:r>
      <w:proofErr w:type="gramStart"/>
      <w:r w:rsidRPr="00A168D2">
        <w:rPr>
          <w:rFonts w:ascii="Bookman Old Style" w:eastAsia="Times New Roman" w:hAnsi="Bookman Old Style" w:cs="Calibri"/>
          <w:w w:val="90"/>
          <w:sz w:val="24"/>
          <w:szCs w:val="24"/>
          <w:lang w:eastAsia="en-GB"/>
        </w:rPr>
        <w:t>Mediterranean sea</w:t>
      </w:r>
      <w:proofErr w:type="gramEnd"/>
      <w:r w:rsidRPr="00A168D2">
        <w:rPr>
          <w:rFonts w:ascii="Bookman Old Style" w:eastAsia="Times New Roman" w:hAnsi="Bookman Old Style" w:cs="Calibri"/>
          <w:w w:val="90"/>
          <w:sz w:val="24"/>
          <w:szCs w:val="24"/>
          <w:lang w:eastAsia="en-GB"/>
        </w:rPr>
        <w:t>-power.</w:t>
      </w:r>
    </w:p>
    <w:p w14:paraId="7183275C" w14:textId="77777777" w:rsidR="00B87D44" w:rsidRPr="00A168D2" w:rsidRDefault="00B87D44" w:rsidP="00B87D44">
      <w:pPr>
        <w:numPr>
          <w:ilvl w:val="0"/>
          <w:numId w:val="20"/>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Loss of political control and shifting NATO imperatives reduced the utility of a British base; the island’s strategic value remained but Britain’s imperial maintenance role waned.</w:t>
      </w:r>
    </w:p>
    <w:p w14:paraId="4F89F1DA" w14:textId="77777777" w:rsidR="00B87D44" w:rsidRPr="00A168D2" w:rsidRDefault="00B87D44" w:rsidP="00B87D44">
      <w:pPr>
        <w:numPr>
          <w:ilvl w:val="0"/>
          <w:numId w:val="20"/>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Local/social/economic effects: Withdrawal of British forces created a mixed economic shock (loss of military spending) but also opportunities as Malta asserted sovereignty and developed local maritime industries and tourism.</w:t>
      </w:r>
    </w:p>
    <w:p w14:paraId="7A1014BB" w14:textId="77777777" w:rsidR="00B87D44" w:rsidRPr="00A168D2" w:rsidRDefault="00B87D44" w:rsidP="00B87D44">
      <w:pPr>
        <w:numPr>
          <w:ilvl w:val="0"/>
          <w:numId w:val="20"/>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 xml:space="preserve">Reconfiguration: Transition from imperial naval base to a national </w:t>
      </w:r>
      <w:proofErr w:type="spellStart"/>
      <w:r w:rsidRPr="00A168D2">
        <w:rPr>
          <w:rFonts w:ascii="Bookman Old Style" w:eastAsia="Times New Roman" w:hAnsi="Bookman Old Style" w:cs="Calibri"/>
          <w:w w:val="90"/>
          <w:sz w:val="24"/>
          <w:szCs w:val="24"/>
          <w:lang w:eastAsia="en-GB"/>
        </w:rPr>
        <w:t>port</w:t>
      </w:r>
      <w:proofErr w:type="spellEnd"/>
      <w:r w:rsidRPr="00A168D2">
        <w:rPr>
          <w:rFonts w:ascii="Bookman Old Style" w:eastAsia="Times New Roman" w:hAnsi="Bookman Old Style" w:cs="Calibri"/>
          <w:w w:val="90"/>
          <w:sz w:val="24"/>
          <w:szCs w:val="24"/>
          <w:lang w:eastAsia="en-GB"/>
        </w:rPr>
        <w:t xml:space="preserve"> and commercial/heritage hub; military facilities were reduced or handed to Maltese authorities, later used for civilian purposes and tourism.</w:t>
      </w:r>
    </w:p>
    <w:p w14:paraId="64477CB1" w14:textId="6E65B002" w:rsidR="00B87D44" w:rsidRDefault="00B87D44" w:rsidP="00B87D44">
      <w:pPr>
        <w:numPr>
          <w:ilvl w:val="0"/>
          <w:numId w:val="20"/>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Suggested speech title: “Valletta After Withdrawal: Malta, Sovereignty and the End of British Naval Primacy”</w:t>
      </w:r>
    </w:p>
    <w:p w14:paraId="38B72367" w14:textId="77777777" w:rsidR="00E73FAD" w:rsidRPr="00691568" w:rsidRDefault="00E73FAD" w:rsidP="00E73FAD">
      <w:pPr>
        <w:spacing w:after="0" w:line="288" w:lineRule="auto"/>
        <w:rPr>
          <w:rFonts w:ascii="Bookman Old Style" w:eastAsia="Times New Roman" w:hAnsi="Bookman Old Style" w:cs="Times New Roman"/>
          <w:b/>
          <w:bCs/>
          <w:color w:val="000000"/>
          <w:w w:val="90"/>
          <w:sz w:val="24"/>
          <w:szCs w:val="24"/>
          <w:lang w:eastAsia="en-GB"/>
        </w:rPr>
      </w:pPr>
      <w:r w:rsidRPr="00691568">
        <w:rPr>
          <w:rFonts w:ascii="Bookman Old Style" w:eastAsia="Times New Roman" w:hAnsi="Bookman Old Style" w:cs="Times New Roman"/>
          <w:b/>
          <w:bCs/>
          <w:color w:val="000000"/>
          <w:w w:val="90"/>
          <w:sz w:val="24"/>
          <w:szCs w:val="24"/>
          <w:lang w:eastAsia="en-GB"/>
        </w:rPr>
        <w:t>Bombay (Mumbai, India)</w:t>
      </w:r>
    </w:p>
    <w:p w14:paraId="64D5F95D" w14:textId="45BEBF61" w:rsidR="00E73FAD" w:rsidRPr="00E73FAD" w:rsidRDefault="00E73FAD" w:rsidP="00E73FAD">
      <w:pPr>
        <w:pStyle w:val="ListParagraph"/>
        <w:numPr>
          <w:ilvl w:val="0"/>
          <w:numId w:val="20"/>
        </w:numPr>
        <w:spacing w:after="0" w:line="288" w:lineRule="auto"/>
        <w:rPr>
          <w:rFonts w:ascii="Bookman Old Style" w:eastAsia="Times New Roman" w:hAnsi="Bookman Old Style" w:cs="Times New Roman"/>
          <w:color w:val="000000"/>
          <w:w w:val="90"/>
          <w:sz w:val="24"/>
          <w:szCs w:val="24"/>
          <w:lang w:eastAsia="en-GB"/>
        </w:rPr>
      </w:pPr>
      <w:r w:rsidRPr="00E73FAD">
        <w:rPr>
          <w:rFonts w:ascii="Bookman Old Style" w:eastAsia="Times New Roman" w:hAnsi="Bookman Old Style" w:cs="Times New Roman"/>
          <w:color w:val="000000"/>
          <w:w w:val="90"/>
          <w:sz w:val="24"/>
          <w:szCs w:val="24"/>
          <w:lang w:eastAsia="en-GB"/>
        </w:rPr>
        <w:lastRenderedPageBreak/>
        <w:t>Imperial role: Major shipbuilding and repair centre on India’s west coast, supporting the Royal Navy’s presence in the Indian Ocean.</w:t>
      </w:r>
    </w:p>
    <w:p w14:paraId="7FCC418B" w14:textId="0624649A" w:rsidR="00E73FAD" w:rsidRPr="00E73FAD" w:rsidRDefault="00E73FAD" w:rsidP="00E73FAD">
      <w:pPr>
        <w:pStyle w:val="ListParagraph"/>
        <w:numPr>
          <w:ilvl w:val="0"/>
          <w:numId w:val="20"/>
        </w:numPr>
        <w:spacing w:after="0" w:line="288" w:lineRule="auto"/>
        <w:rPr>
          <w:rFonts w:ascii="Bookman Old Style" w:eastAsia="Times New Roman" w:hAnsi="Bookman Old Style" w:cs="Times New Roman"/>
          <w:color w:val="000000"/>
          <w:w w:val="90"/>
          <w:sz w:val="24"/>
          <w:szCs w:val="24"/>
          <w:lang w:eastAsia="en-GB"/>
        </w:rPr>
      </w:pPr>
      <w:r w:rsidRPr="00E73FAD">
        <w:rPr>
          <w:rFonts w:ascii="Bookman Old Style" w:eastAsia="Times New Roman" w:hAnsi="Bookman Old Style" w:cs="Times New Roman"/>
          <w:color w:val="000000"/>
          <w:w w:val="90"/>
          <w:sz w:val="24"/>
          <w:szCs w:val="24"/>
          <w:lang w:eastAsia="en-GB"/>
        </w:rPr>
        <w:t>Impact of the end of Empire: Indian independence transferred authority to a national navy; British dockyard prominence declined as local institutions expanded ownership and control.</w:t>
      </w:r>
    </w:p>
    <w:p w14:paraId="59FB6CC0" w14:textId="01461D4E" w:rsidR="00E73FAD" w:rsidRPr="00E73FAD" w:rsidRDefault="00E73FAD" w:rsidP="00E73FAD">
      <w:pPr>
        <w:pStyle w:val="ListParagraph"/>
        <w:numPr>
          <w:ilvl w:val="0"/>
          <w:numId w:val="20"/>
        </w:numPr>
        <w:spacing w:after="0" w:line="288" w:lineRule="auto"/>
        <w:rPr>
          <w:rFonts w:ascii="Bookman Old Style" w:eastAsia="Times New Roman" w:hAnsi="Bookman Old Style" w:cs="Times New Roman"/>
          <w:color w:val="000000"/>
          <w:w w:val="90"/>
          <w:sz w:val="24"/>
          <w:szCs w:val="24"/>
          <w:lang w:eastAsia="en-GB"/>
        </w:rPr>
      </w:pPr>
      <w:r w:rsidRPr="00E73FAD">
        <w:rPr>
          <w:rFonts w:ascii="Bookman Old Style" w:eastAsia="Times New Roman" w:hAnsi="Bookman Old Style" w:cs="Times New Roman"/>
          <w:color w:val="000000"/>
          <w:w w:val="90"/>
          <w:sz w:val="24"/>
          <w:szCs w:val="24"/>
          <w:lang w:eastAsia="en-GB"/>
        </w:rPr>
        <w:t>Local/social/economic effects: Skilled dockyard labour and technical expertise were retained locally but redirected to building the Indian Navy and civil shipping; the dockyard formed part of India’s nascent maritime industrial capacity.</w:t>
      </w:r>
    </w:p>
    <w:p w14:paraId="69833099" w14:textId="7200FACA" w:rsidR="008449F4" w:rsidRPr="00E15A96" w:rsidRDefault="00E73FAD" w:rsidP="00E15A96">
      <w:pPr>
        <w:pStyle w:val="ListParagraph"/>
        <w:numPr>
          <w:ilvl w:val="0"/>
          <w:numId w:val="20"/>
        </w:numPr>
        <w:spacing w:after="0" w:line="288" w:lineRule="auto"/>
        <w:rPr>
          <w:rFonts w:ascii="Bookman Old Style" w:eastAsia="Times New Roman" w:hAnsi="Bookman Old Style" w:cs="Times New Roman"/>
          <w:color w:val="000000"/>
          <w:w w:val="90"/>
          <w:sz w:val="24"/>
          <w:szCs w:val="24"/>
          <w:lang w:eastAsia="en-GB"/>
        </w:rPr>
      </w:pPr>
      <w:r w:rsidRPr="00E73FAD">
        <w:rPr>
          <w:rFonts w:ascii="Bookman Old Style" w:eastAsia="Times New Roman" w:hAnsi="Bookman Old Style" w:cs="Times New Roman"/>
          <w:color w:val="000000"/>
          <w:w w:val="90"/>
          <w:sz w:val="24"/>
          <w:szCs w:val="24"/>
          <w:lang w:eastAsia="en-GB"/>
        </w:rPr>
        <w:t>Reconfiguration: Became integrated into the infrastructure of an independent Indian state and its navy, while civilian shipbuilding and repair flourished under local direction.</w:t>
      </w:r>
    </w:p>
    <w:p w14:paraId="13E6F188" w14:textId="4ACE3802" w:rsidR="00B87D44" w:rsidRPr="00A168D2" w:rsidRDefault="00B87D44" w:rsidP="00A168D2">
      <w:pPr>
        <w:spacing w:after="0"/>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Portsmouth (UK)</w:t>
      </w:r>
    </w:p>
    <w:p w14:paraId="1DCCB72A" w14:textId="77777777" w:rsidR="00B87D44" w:rsidRPr="00A168D2" w:rsidRDefault="00B87D44" w:rsidP="00A168D2">
      <w:pPr>
        <w:numPr>
          <w:ilvl w:val="0"/>
          <w:numId w:val="10"/>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Imperial role: Principal home fleet base and administrative centre for the Royal Navy; major shipbuilding, refit and logistics hub.</w:t>
      </w:r>
    </w:p>
    <w:p w14:paraId="519B880B" w14:textId="77777777" w:rsidR="00B87D44" w:rsidRPr="00A168D2" w:rsidRDefault="00B87D44" w:rsidP="00B87D44">
      <w:pPr>
        <w:numPr>
          <w:ilvl w:val="0"/>
          <w:numId w:val="10"/>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Gradual shrinking of fleet size and global commitments reduced demand for shipbuilding and big-scale refits. Strategic emphasis shifted from imperial policing to NATO/European roles.</w:t>
      </w:r>
    </w:p>
    <w:p w14:paraId="56BEFA44" w14:textId="77777777" w:rsidR="00B87D44" w:rsidRPr="00A168D2" w:rsidRDefault="00B87D44" w:rsidP="00B87D44">
      <w:pPr>
        <w:numPr>
          <w:ilvl w:val="0"/>
          <w:numId w:val="10"/>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Local/social/economic effects: Workforce reductions and industrial restructuring in shipbuilding and dockyard trades; communities had to diversify into civilian maritime industries, defence services and tourism.</w:t>
      </w:r>
    </w:p>
    <w:p w14:paraId="7793EE99" w14:textId="77777777" w:rsidR="00B87D44" w:rsidRPr="00A168D2" w:rsidRDefault="00B87D44" w:rsidP="00B87D44">
      <w:pPr>
        <w:numPr>
          <w:ilvl w:val="0"/>
          <w:numId w:val="10"/>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Reconfiguration: Continued as one of the Royal Navy’s principal home dockyards, with extensive heritage and museum use (historic ships, public engagement) alongside ongoing naval functions.</w:t>
      </w:r>
    </w:p>
    <w:p w14:paraId="77B8E476" w14:textId="77777777" w:rsidR="00F47942" w:rsidRPr="00F47942" w:rsidRDefault="00F47942" w:rsidP="00F47942">
      <w:pPr>
        <w:spacing w:after="0" w:line="240" w:lineRule="auto"/>
        <w:outlineLvl w:val="1"/>
        <w:rPr>
          <w:rFonts w:ascii="Bookman Old Style" w:eastAsia="Times New Roman" w:hAnsi="Bookman Old Style" w:cs="Calibri"/>
          <w:b/>
          <w:bCs/>
          <w:w w:val="90"/>
          <w:sz w:val="24"/>
          <w:szCs w:val="24"/>
          <w:lang w:eastAsia="en-GB"/>
        </w:rPr>
      </w:pPr>
      <w:r w:rsidRPr="00F47942">
        <w:rPr>
          <w:rFonts w:ascii="Bookman Old Style" w:eastAsia="Times New Roman" w:hAnsi="Bookman Old Style" w:cs="Calibri"/>
          <w:b/>
          <w:bCs/>
          <w:w w:val="90"/>
          <w:sz w:val="24"/>
          <w:szCs w:val="24"/>
          <w:lang w:eastAsia="en-GB"/>
        </w:rPr>
        <w:t>Rosyth Dockyard (Scotland)</w:t>
      </w:r>
    </w:p>
    <w:p w14:paraId="0B216B8C" w14:textId="26BB8481" w:rsidR="00F47942" w:rsidRPr="00F47942" w:rsidRDefault="00F47942" w:rsidP="00F47942">
      <w:pPr>
        <w:numPr>
          <w:ilvl w:val="0"/>
          <w:numId w:val="21"/>
        </w:numPr>
        <w:spacing w:after="0" w:line="240" w:lineRule="auto"/>
        <w:outlineLvl w:val="1"/>
        <w:rPr>
          <w:rFonts w:ascii="Bookman Old Style" w:eastAsia="Times New Roman" w:hAnsi="Bookman Old Style" w:cs="Calibri"/>
          <w:w w:val="90"/>
          <w:sz w:val="24"/>
          <w:szCs w:val="24"/>
          <w:lang w:eastAsia="en-GB"/>
        </w:rPr>
      </w:pPr>
      <w:r w:rsidRPr="00F47942">
        <w:rPr>
          <w:rFonts w:ascii="Bookman Old Style" w:eastAsia="Times New Roman" w:hAnsi="Bookman Old Style" w:cs="Calibri"/>
          <w:w w:val="90"/>
          <w:sz w:val="24"/>
          <w:szCs w:val="24"/>
          <w:lang w:eastAsia="en-GB"/>
        </w:rPr>
        <w:t>Imperial role:</w:t>
      </w:r>
      <w:r>
        <w:rPr>
          <w:rFonts w:ascii="Bookman Old Style" w:eastAsia="Times New Roman" w:hAnsi="Bookman Old Style" w:cs="Calibri"/>
          <w:w w:val="90"/>
          <w:sz w:val="24"/>
          <w:szCs w:val="24"/>
          <w:lang w:eastAsia="en-GB"/>
        </w:rPr>
        <w:t xml:space="preserve"> </w:t>
      </w:r>
      <w:r w:rsidRPr="00F47942">
        <w:rPr>
          <w:rFonts w:ascii="Bookman Old Style" w:eastAsia="Times New Roman" w:hAnsi="Bookman Old Style" w:cs="Calibri"/>
          <w:w w:val="90"/>
          <w:sz w:val="24"/>
          <w:szCs w:val="24"/>
          <w:lang w:eastAsia="en-GB"/>
        </w:rPr>
        <w:t>Established in 1909–1916 as a modern Royal Naval Dockyard to support the Grand Fleet in the North Sea, Rosyth was designed explicitly for the era of global naval competition. Though not an overseas imperial base, it was integral to Britain’s ability to sustain imperial sea power by protecting the North Sea approaches, countering German naval strength, and supporting capital ships essential to imperial defence.</w:t>
      </w:r>
    </w:p>
    <w:p w14:paraId="1C2783E6" w14:textId="12020913" w:rsidR="00F47942" w:rsidRPr="00F47942" w:rsidRDefault="00F47942" w:rsidP="00F47942">
      <w:pPr>
        <w:numPr>
          <w:ilvl w:val="0"/>
          <w:numId w:val="21"/>
        </w:numPr>
        <w:spacing w:after="0" w:line="240" w:lineRule="auto"/>
        <w:outlineLvl w:val="1"/>
        <w:rPr>
          <w:rFonts w:ascii="Bookman Old Style" w:eastAsia="Times New Roman" w:hAnsi="Bookman Old Style" w:cs="Calibri"/>
          <w:w w:val="90"/>
          <w:sz w:val="24"/>
          <w:szCs w:val="24"/>
          <w:lang w:eastAsia="en-GB"/>
        </w:rPr>
      </w:pPr>
      <w:r w:rsidRPr="00F47942">
        <w:rPr>
          <w:rFonts w:ascii="Bookman Old Style" w:eastAsia="Times New Roman" w:hAnsi="Bookman Old Style" w:cs="Calibri"/>
          <w:w w:val="90"/>
          <w:sz w:val="24"/>
          <w:szCs w:val="24"/>
          <w:lang w:eastAsia="en-GB"/>
        </w:rPr>
        <w:t>Impact of the end of Empire:</w:t>
      </w:r>
      <w:r>
        <w:rPr>
          <w:rFonts w:ascii="Bookman Old Style" w:eastAsia="Times New Roman" w:hAnsi="Bookman Old Style" w:cs="Calibri"/>
          <w:w w:val="90"/>
          <w:sz w:val="24"/>
          <w:szCs w:val="24"/>
          <w:lang w:eastAsia="en-GB"/>
        </w:rPr>
        <w:t xml:space="preserve"> </w:t>
      </w:r>
      <w:r w:rsidRPr="00F47942">
        <w:rPr>
          <w:rFonts w:ascii="Bookman Old Style" w:eastAsia="Times New Roman" w:hAnsi="Bookman Old Style" w:cs="Calibri"/>
          <w:w w:val="90"/>
          <w:sz w:val="24"/>
          <w:szCs w:val="24"/>
          <w:lang w:eastAsia="en-GB"/>
        </w:rPr>
        <w:t>After 1945, and particularly following Suez (1956), Britain’s reduced global role and shrinking surface fleet altered Rosyth’s strategic importance. As imperial commitments contracted, the dockyard’s role shifted from supporting global naval dominance to maintaining a smaller, alliance-focused fleet. Large-scale shipbuilding ceased, and Rosyth increasingly specialised in refit and maintenance rather than construction.</w:t>
      </w:r>
    </w:p>
    <w:p w14:paraId="32FBBE36" w14:textId="1B9BE9D6" w:rsidR="00F47942" w:rsidRPr="00F47942" w:rsidRDefault="00F47942" w:rsidP="00F47942">
      <w:pPr>
        <w:numPr>
          <w:ilvl w:val="0"/>
          <w:numId w:val="21"/>
        </w:numPr>
        <w:spacing w:after="0" w:line="240" w:lineRule="auto"/>
        <w:outlineLvl w:val="1"/>
        <w:rPr>
          <w:rFonts w:ascii="Bookman Old Style" w:eastAsia="Times New Roman" w:hAnsi="Bookman Old Style" w:cs="Calibri"/>
          <w:w w:val="90"/>
          <w:sz w:val="24"/>
          <w:szCs w:val="24"/>
          <w:lang w:eastAsia="en-GB"/>
        </w:rPr>
      </w:pPr>
      <w:r w:rsidRPr="00F47942">
        <w:rPr>
          <w:rFonts w:ascii="Bookman Old Style" w:eastAsia="Times New Roman" w:hAnsi="Bookman Old Style" w:cs="Calibri"/>
          <w:w w:val="90"/>
          <w:sz w:val="24"/>
          <w:szCs w:val="24"/>
          <w:lang w:eastAsia="en-GB"/>
        </w:rPr>
        <w:t>Local/social/economic effects:</w:t>
      </w:r>
      <w:r>
        <w:rPr>
          <w:rFonts w:ascii="Bookman Old Style" w:eastAsia="Times New Roman" w:hAnsi="Bookman Old Style" w:cs="Calibri"/>
          <w:w w:val="90"/>
          <w:sz w:val="24"/>
          <w:szCs w:val="24"/>
          <w:lang w:eastAsia="en-GB"/>
        </w:rPr>
        <w:t xml:space="preserve"> </w:t>
      </w:r>
      <w:r w:rsidRPr="00F47942">
        <w:rPr>
          <w:rFonts w:ascii="Bookman Old Style" w:eastAsia="Times New Roman" w:hAnsi="Bookman Old Style" w:cs="Calibri"/>
          <w:w w:val="90"/>
          <w:sz w:val="24"/>
          <w:szCs w:val="24"/>
          <w:lang w:eastAsia="en-GB"/>
        </w:rPr>
        <w:t>The post-imperial contraction of the Royal Navy led to periodic job losses and uncertainty in west Fife. Skilled industrial labour remained, but employment became increasingly dependent on defence contracts rather than continuous naval expansion. The community experienced the broader social transition from imperial-era industrial security to a more volatile defence-industrial economy.</w:t>
      </w:r>
    </w:p>
    <w:p w14:paraId="7EBCE52C" w14:textId="406A27FB" w:rsidR="00F47942" w:rsidRPr="00F47942" w:rsidRDefault="00F47942" w:rsidP="00F47942">
      <w:pPr>
        <w:numPr>
          <w:ilvl w:val="0"/>
          <w:numId w:val="21"/>
        </w:numPr>
        <w:spacing w:after="0" w:line="240" w:lineRule="auto"/>
        <w:outlineLvl w:val="1"/>
        <w:rPr>
          <w:rFonts w:ascii="Bookman Old Style" w:eastAsia="Times New Roman" w:hAnsi="Bookman Old Style" w:cs="Calibri"/>
          <w:w w:val="90"/>
          <w:sz w:val="24"/>
          <w:szCs w:val="24"/>
          <w:lang w:eastAsia="en-GB"/>
        </w:rPr>
      </w:pPr>
      <w:r w:rsidRPr="00F47942">
        <w:rPr>
          <w:rFonts w:ascii="Bookman Old Style" w:eastAsia="Times New Roman" w:hAnsi="Bookman Old Style" w:cs="Calibri"/>
          <w:w w:val="90"/>
          <w:sz w:val="24"/>
          <w:szCs w:val="24"/>
          <w:lang w:eastAsia="en-GB"/>
        </w:rPr>
        <w:t>Reconfiguration:</w:t>
      </w:r>
      <w:r>
        <w:rPr>
          <w:rFonts w:ascii="Bookman Old Style" w:eastAsia="Times New Roman" w:hAnsi="Bookman Old Style" w:cs="Calibri"/>
          <w:w w:val="90"/>
          <w:sz w:val="24"/>
          <w:szCs w:val="24"/>
          <w:lang w:eastAsia="en-GB"/>
        </w:rPr>
        <w:t xml:space="preserve"> </w:t>
      </w:r>
      <w:r w:rsidRPr="00F47942">
        <w:rPr>
          <w:rFonts w:ascii="Bookman Old Style" w:eastAsia="Times New Roman" w:hAnsi="Bookman Old Style" w:cs="Calibri"/>
          <w:w w:val="90"/>
          <w:sz w:val="24"/>
          <w:szCs w:val="24"/>
          <w:lang w:eastAsia="en-GB"/>
        </w:rPr>
        <w:t>Rosyth evolved into a specialist refit, maintenance, and later decommissioning yard, operated by private contractors under Ministry of Defence oversight. In the late 20th and early 21st centuries it became central to aircraft carrier assembly work and nuclear submarine dismantling — a striking shift from imperial fleet support to post-imperial lifecycle management of naval assets.</w:t>
      </w:r>
    </w:p>
    <w:p w14:paraId="74ED7A78" w14:textId="77777777" w:rsidR="00F47942" w:rsidRDefault="00F47942" w:rsidP="00A168D2">
      <w:pPr>
        <w:spacing w:after="0" w:line="240" w:lineRule="auto"/>
        <w:outlineLvl w:val="1"/>
        <w:rPr>
          <w:rFonts w:ascii="Bookman Old Style" w:eastAsia="Times New Roman" w:hAnsi="Bookman Old Style" w:cs="Calibri"/>
          <w:b/>
          <w:bCs/>
          <w:w w:val="90"/>
          <w:sz w:val="24"/>
          <w:szCs w:val="24"/>
          <w:lang w:eastAsia="en-GB"/>
        </w:rPr>
      </w:pPr>
    </w:p>
    <w:p w14:paraId="25A15297" w14:textId="478C8595" w:rsidR="00B87D44" w:rsidRPr="00A168D2" w:rsidRDefault="00B87D44" w:rsidP="00A168D2">
      <w:pPr>
        <w:spacing w:after="0" w:line="240" w:lineRule="auto"/>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Simon’s Town (South Africa)</w:t>
      </w:r>
    </w:p>
    <w:p w14:paraId="38EA247A" w14:textId="77777777" w:rsidR="00B87D44" w:rsidRPr="00A168D2" w:rsidRDefault="00B87D44" w:rsidP="00A168D2">
      <w:pPr>
        <w:numPr>
          <w:ilvl w:val="0"/>
          <w:numId w:val="19"/>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lastRenderedPageBreak/>
        <w:t>Imperial role: Key base for the Cape sea route; coaling, repair and fleet support for Atlantic–Indian Ocean transit.</w:t>
      </w:r>
    </w:p>
    <w:p w14:paraId="098629F3" w14:textId="77777777" w:rsidR="00B87D44" w:rsidRPr="00A168D2" w:rsidRDefault="00B87D44" w:rsidP="00B87D44">
      <w:pPr>
        <w:numPr>
          <w:ilvl w:val="0"/>
          <w:numId w:val="19"/>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Political change and the emergence of independent states in the region forced renegotiation of basing arrangements; imperial control was ceded to local authorities.</w:t>
      </w:r>
    </w:p>
    <w:p w14:paraId="7B0409A5" w14:textId="77777777" w:rsidR="00B87D44" w:rsidRPr="00A168D2" w:rsidRDefault="00B87D44" w:rsidP="00B87D44">
      <w:pPr>
        <w:numPr>
          <w:ilvl w:val="0"/>
          <w:numId w:val="19"/>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 xml:space="preserve">Local/social/economic effects: Transfer of facilities altered employment patterns — some continuity as local navies inherited </w:t>
      </w:r>
      <w:proofErr w:type="gramStart"/>
      <w:r w:rsidRPr="00A168D2">
        <w:rPr>
          <w:rFonts w:ascii="Bookman Old Style" w:eastAsia="Times New Roman" w:hAnsi="Bookman Old Style" w:cs="Calibri"/>
          <w:w w:val="90"/>
          <w:sz w:val="24"/>
          <w:szCs w:val="24"/>
          <w:lang w:eastAsia="en-GB"/>
        </w:rPr>
        <w:t>infrastructure</w:t>
      </w:r>
      <w:proofErr w:type="gramEnd"/>
      <w:r w:rsidRPr="00A168D2">
        <w:rPr>
          <w:rFonts w:ascii="Bookman Old Style" w:eastAsia="Times New Roman" w:hAnsi="Bookman Old Style" w:cs="Calibri"/>
          <w:w w:val="90"/>
          <w:sz w:val="24"/>
          <w:szCs w:val="24"/>
          <w:lang w:eastAsia="en-GB"/>
        </w:rPr>
        <w:t xml:space="preserve"> but imperial managerial and technical roles diminished.</w:t>
      </w:r>
    </w:p>
    <w:p w14:paraId="64F2EBE3" w14:textId="77777777" w:rsidR="00B87D44" w:rsidRPr="00A168D2" w:rsidRDefault="00B87D44" w:rsidP="00B87D44">
      <w:pPr>
        <w:numPr>
          <w:ilvl w:val="0"/>
          <w:numId w:val="19"/>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Reconfiguration: Dockyard functions were transferred progressively to the South African state; the site’s role reframed within national defence priorities rather than imperial logistics.</w:t>
      </w:r>
    </w:p>
    <w:p w14:paraId="157E3419" w14:textId="6D7D879D" w:rsidR="00B87D44" w:rsidRPr="00A168D2" w:rsidRDefault="00B87D44" w:rsidP="00B87D44">
      <w:pPr>
        <w:numPr>
          <w:ilvl w:val="0"/>
          <w:numId w:val="19"/>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Suggested speech title: “Simon’s Town and the Politics of Transfer: Empire, Sovereignty and Naval Infrastructure”</w:t>
      </w:r>
    </w:p>
    <w:p w14:paraId="42D963E0" w14:textId="20B3317C" w:rsidR="00B87D44" w:rsidRPr="00A168D2" w:rsidRDefault="00B87D44" w:rsidP="00A168D2">
      <w:pPr>
        <w:spacing w:after="0" w:line="240" w:lineRule="auto"/>
        <w:outlineLvl w:val="1"/>
        <w:rPr>
          <w:rFonts w:ascii="Bookman Old Style" w:eastAsia="Times New Roman" w:hAnsi="Bookman Old Style" w:cs="Calibri"/>
          <w:b/>
          <w:bCs/>
          <w:w w:val="90"/>
          <w:sz w:val="24"/>
          <w:szCs w:val="24"/>
          <w:lang w:eastAsia="en-GB"/>
        </w:rPr>
      </w:pPr>
      <w:r w:rsidRPr="00A168D2">
        <w:rPr>
          <w:rFonts w:ascii="Bookman Old Style" w:eastAsia="Times New Roman" w:hAnsi="Bookman Old Style" w:cs="Calibri"/>
          <w:b/>
          <w:bCs/>
          <w:w w:val="90"/>
          <w:sz w:val="24"/>
          <w:szCs w:val="24"/>
          <w:lang w:eastAsia="en-GB"/>
        </w:rPr>
        <w:t>Trincomalee (Ceylon / Sri Lanka)</w:t>
      </w:r>
    </w:p>
    <w:p w14:paraId="28D965D0" w14:textId="77777777" w:rsidR="00B87D44" w:rsidRPr="00A168D2" w:rsidRDefault="00B87D44" w:rsidP="00A168D2">
      <w:pPr>
        <w:numPr>
          <w:ilvl w:val="0"/>
          <w:numId w:val="17"/>
        </w:numPr>
        <w:spacing w:before="120" w:after="0" w:line="240" w:lineRule="auto"/>
        <w:ind w:left="714" w:hanging="357"/>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Imperial role: Deep natural harbour in the Indian Ocean used for fleet anchorage and repairs; crucial for eastern sea-route operations.</w:t>
      </w:r>
    </w:p>
    <w:p w14:paraId="3723A372" w14:textId="77777777" w:rsidR="00B87D44" w:rsidRPr="00A168D2" w:rsidRDefault="00B87D44" w:rsidP="00B87D44">
      <w:pPr>
        <w:numPr>
          <w:ilvl w:val="0"/>
          <w:numId w:val="17"/>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Impact of the end of Empire: Ceylonese independence and wider decolonisation reduced the British ability to sustain a permanent imperial presence; dockyard and base facilities were scaled back or negotiated with the new state.</w:t>
      </w:r>
    </w:p>
    <w:p w14:paraId="6D421FCF" w14:textId="77777777" w:rsidR="00B87D44" w:rsidRPr="00A168D2" w:rsidRDefault="00B87D44" w:rsidP="00B87D44">
      <w:pPr>
        <w:numPr>
          <w:ilvl w:val="0"/>
          <w:numId w:val="17"/>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Local/social/economic effects: Loss of British garrison spending affected surrounding economies, but the facilities provided a foundation for the national navy and local maritime commerce.</w:t>
      </w:r>
    </w:p>
    <w:p w14:paraId="0BBB9612" w14:textId="3ACFA0F5" w:rsidR="0062641D" w:rsidRPr="00A168D2" w:rsidRDefault="00B87D44" w:rsidP="0011016C">
      <w:pPr>
        <w:numPr>
          <w:ilvl w:val="0"/>
          <w:numId w:val="17"/>
        </w:numPr>
        <w:spacing w:before="100" w:beforeAutospacing="1" w:after="100" w:afterAutospacing="1" w:line="240" w:lineRule="auto"/>
        <w:rPr>
          <w:rFonts w:ascii="Bookman Old Style" w:eastAsia="Times New Roman" w:hAnsi="Bookman Old Style" w:cs="Calibri"/>
          <w:w w:val="90"/>
          <w:sz w:val="24"/>
          <w:szCs w:val="24"/>
          <w:lang w:eastAsia="en-GB"/>
        </w:rPr>
      </w:pPr>
      <w:r w:rsidRPr="00A168D2">
        <w:rPr>
          <w:rFonts w:ascii="Bookman Old Style" w:eastAsia="Times New Roman" w:hAnsi="Bookman Old Style" w:cs="Calibri"/>
          <w:w w:val="90"/>
          <w:sz w:val="24"/>
          <w:szCs w:val="24"/>
          <w:lang w:eastAsia="en-GB"/>
        </w:rPr>
        <w:t>Reconfiguration: Reoriented to serve Sri Lanka’s national defence and commercial maritime needs rather than as an imperial logistics node.</w:t>
      </w:r>
    </w:p>
    <w:p w14:paraId="67624B67" w14:textId="21C938AC" w:rsidR="00CF4092" w:rsidRPr="00926577" w:rsidRDefault="00C07246" w:rsidP="00864D24">
      <w:pPr>
        <w:spacing w:after="0" w:line="240" w:lineRule="auto"/>
        <w:jc w:val="both"/>
        <w:rPr>
          <w:rFonts w:ascii="Bookman Old Style" w:eastAsia="Times New Roman" w:hAnsi="Bookman Old Style" w:cstheme="minorHAnsi"/>
          <w:b/>
          <w:bCs/>
          <w:color w:val="000000"/>
          <w:w w:val="90"/>
          <w:sz w:val="24"/>
          <w:szCs w:val="24"/>
          <w:lang w:eastAsia="en-GB"/>
        </w:rPr>
      </w:pPr>
      <w:r w:rsidRPr="00926577">
        <w:rPr>
          <w:rFonts w:ascii="Bookman Old Style" w:hAnsi="Bookman Old Style"/>
          <w:b/>
          <w:bCs/>
          <w:w w:val="90"/>
          <w:sz w:val="24"/>
          <w:szCs w:val="24"/>
        </w:rPr>
        <w:t>If your proposal is accepted</w:t>
      </w:r>
      <w:r w:rsidR="00687172" w:rsidRPr="00926577">
        <w:rPr>
          <w:rFonts w:ascii="Bookman Old Style" w:hAnsi="Bookman Old Style"/>
          <w:b/>
          <w:bCs/>
          <w:w w:val="90"/>
          <w:sz w:val="24"/>
          <w:szCs w:val="24"/>
        </w:rPr>
        <w:t>,</w:t>
      </w:r>
      <w:r w:rsidRPr="00926577">
        <w:rPr>
          <w:rFonts w:ascii="Bookman Old Style" w:hAnsi="Bookman Old Style"/>
          <w:w w:val="90"/>
          <w:sz w:val="24"/>
          <w:szCs w:val="24"/>
        </w:rPr>
        <w:t xml:space="preserve"> </w:t>
      </w:r>
      <w:r w:rsidR="000F758A" w:rsidRPr="00926577">
        <w:rPr>
          <w:rFonts w:ascii="Bookman Old Style" w:hAnsi="Bookman Old Style"/>
          <w:i/>
          <w:iCs/>
          <w:w w:val="90"/>
          <w:sz w:val="24"/>
          <w:szCs w:val="24"/>
        </w:rPr>
        <w:t xml:space="preserve">you </w:t>
      </w:r>
      <w:r w:rsidR="007848C3" w:rsidRPr="00926577">
        <w:rPr>
          <w:rFonts w:ascii="Bookman Old Style" w:hAnsi="Bookman Old Style"/>
          <w:i/>
          <w:iCs/>
          <w:w w:val="90"/>
          <w:sz w:val="24"/>
          <w:szCs w:val="24"/>
        </w:rPr>
        <w:t>will</w:t>
      </w:r>
      <w:r w:rsidR="000F758A" w:rsidRPr="00926577">
        <w:rPr>
          <w:rFonts w:ascii="Bookman Old Style" w:hAnsi="Bookman Old Style"/>
          <w:i/>
          <w:iCs/>
          <w:w w:val="90"/>
          <w:sz w:val="24"/>
          <w:szCs w:val="24"/>
        </w:rPr>
        <w:t xml:space="preserve"> present in-person</w:t>
      </w:r>
      <w:r w:rsidR="00820B47" w:rsidRPr="00926577">
        <w:rPr>
          <w:rFonts w:ascii="Bookman Old Style" w:hAnsi="Bookman Old Style"/>
          <w:i/>
          <w:iCs/>
          <w:w w:val="90"/>
          <w:sz w:val="24"/>
          <w:szCs w:val="24"/>
        </w:rPr>
        <w:t xml:space="preserve"> or online</w:t>
      </w:r>
      <w:r w:rsidR="00B42B4C" w:rsidRPr="00926577">
        <w:rPr>
          <w:rFonts w:ascii="Bookman Old Style" w:hAnsi="Bookman Old Style"/>
          <w:w w:val="90"/>
          <w:sz w:val="24"/>
          <w:szCs w:val="24"/>
        </w:rPr>
        <w:t>.</w:t>
      </w:r>
      <w:r w:rsidR="000F758A" w:rsidRPr="00926577">
        <w:rPr>
          <w:rFonts w:ascii="Bookman Old Style" w:hAnsi="Bookman Old Style"/>
          <w:w w:val="90"/>
          <w:sz w:val="24"/>
          <w:szCs w:val="24"/>
        </w:rPr>
        <w:t xml:space="preserve"> </w:t>
      </w:r>
      <w:r w:rsidR="00B42B4C" w:rsidRPr="00926577">
        <w:rPr>
          <w:rFonts w:ascii="Bookman Old Style" w:hAnsi="Bookman Old Style"/>
          <w:w w:val="90"/>
          <w:sz w:val="24"/>
          <w:szCs w:val="24"/>
        </w:rPr>
        <w:t>W</w:t>
      </w:r>
      <w:r w:rsidR="007F3FB1" w:rsidRPr="00926577">
        <w:rPr>
          <w:rFonts w:ascii="Bookman Old Style" w:hAnsi="Bookman Old Style"/>
          <w:w w:val="90"/>
          <w:sz w:val="24"/>
          <w:szCs w:val="24"/>
        </w:rPr>
        <w:t>e</w:t>
      </w:r>
      <w:r w:rsidRPr="00926577">
        <w:rPr>
          <w:rFonts w:ascii="Bookman Old Style" w:hAnsi="Bookman Old Style"/>
          <w:w w:val="90"/>
          <w:sz w:val="24"/>
          <w:szCs w:val="24"/>
        </w:rPr>
        <w:t xml:space="preserve"> </w:t>
      </w:r>
      <w:r w:rsidR="00012DAD" w:rsidRPr="00926577">
        <w:rPr>
          <w:rFonts w:ascii="Bookman Old Style" w:hAnsi="Bookman Old Style"/>
          <w:w w:val="90"/>
          <w:sz w:val="24"/>
          <w:szCs w:val="24"/>
        </w:rPr>
        <w:t>sha</w:t>
      </w:r>
      <w:r w:rsidRPr="00926577">
        <w:rPr>
          <w:rFonts w:ascii="Bookman Old Style" w:hAnsi="Bookman Old Style"/>
          <w:w w:val="90"/>
          <w:sz w:val="24"/>
          <w:szCs w:val="24"/>
        </w:rPr>
        <w:t xml:space="preserve">ll </w:t>
      </w:r>
      <w:r w:rsidR="00B42B4C" w:rsidRPr="00926577">
        <w:rPr>
          <w:rFonts w:ascii="Bookman Old Style" w:hAnsi="Bookman Old Style"/>
          <w:w w:val="90"/>
          <w:sz w:val="24"/>
          <w:szCs w:val="24"/>
        </w:rPr>
        <w:t>refund</w:t>
      </w:r>
      <w:r w:rsidR="00A97689" w:rsidRPr="00926577">
        <w:rPr>
          <w:rFonts w:ascii="Bookman Old Style" w:hAnsi="Bookman Old Style"/>
          <w:w w:val="90"/>
          <w:sz w:val="24"/>
          <w:szCs w:val="24"/>
        </w:rPr>
        <w:t xml:space="preserve"> </w:t>
      </w:r>
      <w:r w:rsidR="00B0314D" w:rsidRPr="00926577">
        <w:rPr>
          <w:rFonts w:ascii="Bookman Old Style" w:hAnsi="Bookman Old Style"/>
          <w:w w:val="90"/>
          <w:sz w:val="24"/>
          <w:szCs w:val="24"/>
        </w:rPr>
        <w:t>UK/E</w:t>
      </w:r>
      <w:r w:rsidR="0058702E" w:rsidRPr="00926577">
        <w:rPr>
          <w:rFonts w:ascii="Bookman Old Style" w:hAnsi="Bookman Old Style"/>
          <w:w w:val="90"/>
          <w:sz w:val="24"/>
          <w:szCs w:val="24"/>
        </w:rPr>
        <w:t>uropean</w:t>
      </w:r>
      <w:r w:rsidR="00B0314D" w:rsidRPr="00926577">
        <w:rPr>
          <w:rFonts w:ascii="Bookman Old Style" w:hAnsi="Bookman Old Style"/>
          <w:w w:val="90"/>
          <w:sz w:val="24"/>
          <w:szCs w:val="24"/>
        </w:rPr>
        <w:t xml:space="preserve"> travel fare</w:t>
      </w:r>
      <w:r w:rsidR="00BC0DC2" w:rsidRPr="00926577">
        <w:rPr>
          <w:rFonts w:ascii="Bookman Old Style" w:hAnsi="Bookman Old Style"/>
          <w:w w:val="90"/>
          <w:sz w:val="24"/>
          <w:szCs w:val="24"/>
        </w:rPr>
        <w:t>s</w:t>
      </w:r>
      <w:r w:rsidR="00B0314D" w:rsidRPr="00926577">
        <w:rPr>
          <w:rFonts w:ascii="Bookman Old Style" w:hAnsi="Bookman Old Style"/>
          <w:w w:val="90"/>
          <w:sz w:val="24"/>
          <w:szCs w:val="24"/>
        </w:rPr>
        <w:t xml:space="preserve"> to the </w:t>
      </w:r>
      <w:r w:rsidRPr="00926577">
        <w:rPr>
          <w:rFonts w:ascii="Bookman Old Style" w:hAnsi="Bookman Old Style"/>
          <w:w w:val="90"/>
          <w:sz w:val="24"/>
          <w:szCs w:val="24"/>
        </w:rPr>
        <w:t>conference</w:t>
      </w:r>
      <w:r w:rsidR="00E21FC1" w:rsidRPr="00926577">
        <w:rPr>
          <w:rFonts w:ascii="Bookman Old Style" w:hAnsi="Bookman Old Style"/>
          <w:w w:val="90"/>
          <w:sz w:val="24"/>
          <w:szCs w:val="24"/>
        </w:rPr>
        <w:t xml:space="preserve"> (other overseas</w:t>
      </w:r>
      <w:r w:rsidR="00B42B4C" w:rsidRPr="00926577">
        <w:rPr>
          <w:rFonts w:ascii="Bookman Old Style" w:hAnsi="Bookman Old Style"/>
          <w:w w:val="90"/>
          <w:sz w:val="24"/>
          <w:szCs w:val="24"/>
        </w:rPr>
        <w:t>:</w:t>
      </w:r>
      <w:r w:rsidR="00E21FC1" w:rsidRPr="00926577">
        <w:rPr>
          <w:rFonts w:ascii="Bookman Old Style" w:hAnsi="Bookman Old Style"/>
          <w:w w:val="90"/>
          <w:sz w:val="24"/>
          <w:szCs w:val="24"/>
        </w:rPr>
        <w:t xml:space="preserve"> </w:t>
      </w:r>
      <w:r w:rsidR="00B42B4C" w:rsidRPr="00926577">
        <w:rPr>
          <w:rFonts w:ascii="Bookman Old Style" w:hAnsi="Bookman Old Style"/>
          <w:w w:val="90"/>
          <w:sz w:val="24"/>
          <w:szCs w:val="24"/>
        </w:rPr>
        <w:t>travel</w:t>
      </w:r>
      <w:r w:rsidR="00C448A2" w:rsidRPr="00926577">
        <w:rPr>
          <w:rFonts w:ascii="Bookman Old Style" w:hAnsi="Bookman Old Style"/>
          <w:w w:val="90"/>
          <w:sz w:val="24"/>
          <w:szCs w:val="24"/>
        </w:rPr>
        <w:t xml:space="preserve"> from </w:t>
      </w:r>
      <w:r w:rsidR="00B0139A" w:rsidRPr="00926577">
        <w:rPr>
          <w:rFonts w:ascii="Bookman Old Style" w:hAnsi="Bookman Old Style"/>
          <w:w w:val="90"/>
          <w:sz w:val="24"/>
          <w:szCs w:val="24"/>
        </w:rPr>
        <w:t xml:space="preserve">UK </w:t>
      </w:r>
      <w:r w:rsidR="00C448A2" w:rsidRPr="00926577">
        <w:rPr>
          <w:rFonts w:ascii="Bookman Old Style" w:hAnsi="Bookman Old Style"/>
          <w:w w:val="90"/>
          <w:sz w:val="24"/>
          <w:szCs w:val="24"/>
        </w:rPr>
        <w:t>airport to Greenwich</w:t>
      </w:r>
      <w:r w:rsidR="00B42B4C" w:rsidRPr="00926577">
        <w:rPr>
          <w:rFonts w:ascii="Bookman Old Style" w:hAnsi="Bookman Old Style"/>
          <w:w w:val="90"/>
          <w:sz w:val="24"/>
          <w:szCs w:val="24"/>
        </w:rPr>
        <w:t>)</w:t>
      </w:r>
      <w:r w:rsidR="00B0314D" w:rsidRPr="00926577">
        <w:rPr>
          <w:rFonts w:ascii="Bookman Old Style" w:hAnsi="Bookman Old Style"/>
          <w:w w:val="90"/>
          <w:sz w:val="24"/>
          <w:szCs w:val="24"/>
        </w:rPr>
        <w:t>, your</w:t>
      </w:r>
      <w:r w:rsidRPr="00926577">
        <w:rPr>
          <w:rFonts w:ascii="Bookman Old Style" w:hAnsi="Bookman Old Style"/>
          <w:w w:val="90"/>
          <w:sz w:val="24"/>
          <w:szCs w:val="24"/>
        </w:rPr>
        <w:t xml:space="preserve"> fee</w:t>
      </w:r>
      <w:r w:rsidR="008A41E6" w:rsidRPr="00926577">
        <w:rPr>
          <w:rFonts w:ascii="Bookman Old Style" w:hAnsi="Bookman Old Style"/>
          <w:w w:val="90"/>
          <w:sz w:val="24"/>
          <w:szCs w:val="24"/>
        </w:rPr>
        <w:t>,</w:t>
      </w:r>
      <w:r w:rsidRPr="00926577">
        <w:rPr>
          <w:rFonts w:ascii="Bookman Old Style" w:hAnsi="Bookman Old Style"/>
          <w:w w:val="90"/>
          <w:sz w:val="24"/>
          <w:szCs w:val="24"/>
        </w:rPr>
        <w:t xml:space="preserve"> lunch</w:t>
      </w:r>
      <w:r w:rsidR="0011016C" w:rsidRPr="00926577">
        <w:rPr>
          <w:rFonts w:ascii="Bookman Old Style" w:hAnsi="Bookman Old Style"/>
          <w:w w:val="90"/>
          <w:sz w:val="24"/>
          <w:szCs w:val="24"/>
        </w:rPr>
        <w:t xml:space="preserve"> and contribute to accommodation</w:t>
      </w:r>
      <w:r w:rsidRPr="00926577">
        <w:rPr>
          <w:rFonts w:ascii="Bookman Old Style" w:hAnsi="Bookman Old Style"/>
          <w:w w:val="90"/>
          <w:sz w:val="24"/>
          <w:szCs w:val="24"/>
        </w:rPr>
        <w:t>, publish</w:t>
      </w:r>
      <w:r w:rsidR="000F758A" w:rsidRPr="00926577">
        <w:rPr>
          <w:rFonts w:ascii="Bookman Old Style" w:hAnsi="Bookman Old Style"/>
          <w:w w:val="90"/>
          <w:sz w:val="24"/>
          <w:szCs w:val="24"/>
        </w:rPr>
        <w:t xml:space="preserve"> </w:t>
      </w:r>
      <w:r w:rsidR="0011016C" w:rsidRPr="00926577">
        <w:rPr>
          <w:rFonts w:ascii="Bookman Old Style" w:hAnsi="Bookman Old Style"/>
          <w:w w:val="90"/>
          <w:sz w:val="24"/>
          <w:szCs w:val="24"/>
        </w:rPr>
        <w:t xml:space="preserve">your paper </w:t>
      </w:r>
      <w:r w:rsidR="000F758A" w:rsidRPr="00926577">
        <w:rPr>
          <w:rFonts w:ascii="Bookman Old Style" w:hAnsi="Bookman Old Style"/>
          <w:w w:val="90"/>
          <w:sz w:val="24"/>
          <w:szCs w:val="24"/>
        </w:rPr>
        <w:t>and give you</w:t>
      </w:r>
      <w:r w:rsidRPr="00926577">
        <w:rPr>
          <w:rFonts w:ascii="Bookman Old Style" w:hAnsi="Bookman Old Style"/>
          <w:w w:val="90"/>
          <w:sz w:val="24"/>
          <w:szCs w:val="24"/>
        </w:rPr>
        <w:t xml:space="preserve"> </w:t>
      </w:r>
      <w:r w:rsidR="00090423" w:rsidRPr="00926577">
        <w:rPr>
          <w:rFonts w:ascii="Bookman Old Style" w:hAnsi="Bookman Old Style"/>
          <w:w w:val="90"/>
          <w:sz w:val="24"/>
          <w:szCs w:val="24"/>
        </w:rPr>
        <w:t>a</w:t>
      </w:r>
      <w:r w:rsidR="007F3FB1" w:rsidRPr="00926577">
        <w:rPr>
          <w:rFonts w:ascii="Bookman Old Style" w:hAnsi="Bookman Old Style"/>
          <w:w w:val="90"/>
          <w:sz w:val="24"/>
          <w:szCs w:val="24"/>
        </w:rPr>
        <w:t xml:space="preserve"> </w:t>
      </w:r>
      <w:r w:rsidR="00577288" w:rsidRPr="00926577">
        <w:rPr>
          <w:rFonts w:ascii="Bookman Old Style" w:hAnsi="Bookman Old Style"/>
          <w:w w:val="90"/>
          <w:sz w:val="24"/>
          <w:szCs w:val="24"/>
        </w:rPr>
        <w:t>journal</w:t>
      </w:r>
      <w:r w:rsidR="00090423" w:rsidRPr="00926577">
        <w:rPr>
          <w:rFonts w:ascii="Bookman Old Style" w:hAnsi="Bookman Old Style"/>
          <w:w w:val="90"/>
          <w:sz w:val="24"/>
          <w:szCs w:val="24"/>
        </w:rPr>
        <w:t xml:space="preserve"> volume</w:t>
      </w:r>
      <w:r w:rsidRPr="00926577">
        <w:rPr>
          <w:rFonts w:ascii="Bookman Old Style" w:hAnsi="Bookman Old Style"/>
          <w:w w:val="90"/>
          <w:sz w:val="24"/>
          <w:szCs w:val="24"/>
        </w:rPr>
        <w:t xml:space="preserve">. </w:t>
      </w:r>
      <w:r w:rsidRPr="00926577">
        <w:rPr>
          <w:rFonts w:ascii="Bookman Old Style" w:hAnsi="Bookman Old Style" w:cstheme="minorHAnsi"/>
          <w:w w:val="90"/>
          <w:sz w:val="24"/>
          <w:szCs w:val="24"/>
        </w:rPr>
        <w:t xml:space="preserve">Your talk will </w:t>
      </w:r>
      <w:r w:rsidR="007F3FB1" w:rsidRPr="00926577">
        <w:rPr>
          <w:rFonts w:ascii="Bookman Old Style" w:hAnsi="Bookman Old Style" w:cstheme="minorHAnsi"/>
          <w:w w:val="90"/>
          <w:sz w:val="24"/>
          <w:szCs w:val="24"/>
        </w:rPr>
        <w:t>be</w:t>
      </w:r>
      <w:r w:rsidRPr="00926577">
        <w:rPr>
          <w:rFonts w:ascii="Bookman Old Style" w:hAnsi="Bookman Old Style" w:cstheme="minorHAnsi"/>
          <w:w w:val="90"/>
          <w:sz w:val="24"/>
          <w:szCs w:val="24"/>
        </w:rPr>
        <w:t xml:space="preserve"> </w:t>
      </w:r>
      <w:r w:rsidR="00431B1A" w:rsidRPr="00926577">
        <w:rPr>
          <w:rFonts w:ascii="Bookman Old Style" w:hAnsi="Bookman Old Style" w:cstheme="minorHAnsi"/>
          <w:i/>
          <w:iCs/>
          <w:w w:val="90"/>
          <w:sz w:val="24"/>
          <w:szCs w:val="24"/>
        </w:rPr>
        <w:t>c</w:t>
      </w:r>
      <w:r w:rsidR="00431B1A" w:rsidRPr="00926577">
        <w:rPr>
          <w:rFonts w:ascii="Bookman Old Style" w:hAnsi="Bookman Old Style" w:cstheme="minorHAnsi"/>
          <w:w w:val="90"/>
          <w:sz w:val="24"/>
          <w:szCs w:val="24"/>
        </w:rPr>
        <w:t>.</w:t>
      </w:r>
      <w:r w:rsidR="009F5DB4" w:rsidRPr="00926577">
        <w:rPr>
          <w:rFonts w:ascii="Bookman Old Style" w:hAnsi="Bookman Old Style" w:cstheme="minorHAnsi"/>
          <w:w w:val="90"/>
          <w:sz w:val="24"/>
          <w:szCs w:val="24"/>
        </w:rPr>
        <w:t>30</w:t>
      </w:r>
      <w:r w:rsidRPr="00926577">
        <w:rPr>
          <w:rFonts w:ascii="Bookman Old Style" w:hAnsi="Bookman Old Style" w:cstheme="minorHAnsi"/>
          <w:w w:val="90"/>
          <w:sz w:val="24"/>
          <w:szCs w:val="24"/>
        </w:rPr>
        <w:t xml:space="preserve"> minutes</w:t>
      </w:r>
      <w:r w:rsidR="008146A4" w:rsidRPr="00926577">
        <w:rPr>
          <w:rFonts w:ascii="Bookman Old Style" w:hAnsi="Bookman Old Style" w:cstheme="minorHAnsi"/>
          <w:w w:val="90"/>
          <w:sz w:val="24"/>
          <w:szCs w:val="24"/>
        </w:rPr>
        <w:t>, t</w:t>
      </w:r>
      <w:r w:rsidRPr="00926577">
        <w:rPr>
          <w:rFonts w:ascii="Bookman Old Style" w:hAnsi="Bookman Old Style" w:cstheme="minorHAnsi"/>
          <w:w w:val="90"/>
          <w:sz w:val="24"/>
          <w:szCs w:val="24"/>
        </w:rPr>
        <w:t xml:space="preserve">he </w:t>
      </w:r>
      <w:r w:rsidR="007F3FB1" w:rsidRPr="00926577">
        <w:rPr>
          <w:rFonts w:ascii="Bookman Old Style" w:hAnsi="Bookman Old Style" w:cstheme="minorHAnsi"/>
          <w:w w:val="90"/>
          <w:sz w:val="24"/>
          <w:szCs w:val="24"/>
        </w:rPr>
        <w:t xml:space="preserve">printed </w:t>
      </w:r>
      <w:r w:rsidRPr="00926577">
        <w:rPr>
          <w:rFonts w:ascii="Bookman Old Style" w:hAnsi="Bookman Old Style" w:cstheme="minorHAnsi"/>
          <w:w w:val="90"/>
          <w:sz w:val="24"/>
          <w:szCs w:val="24"/>
        </w:rPr>
        <w:t>paper 6–10</w:t>
      </w:r>
      <w:r w:rsidR="00A97A6C" w:rsidRPr="00926577">
        <w:rPr>
          <w:rFonts w:ascii="Bookman Old Style" w:hAnsi="Bookman Old Style" w:cstheme="minorHAnsi"/>
          <w:w w:val="90"/>
          <w:sz w:val="24"/>
          <w:szCs w:val="24"/>
        </w:rPr>
        <w:t>k</w:t>
      </w:r>
      <w:r w:rsidRPr="00926577">
        <w:rPr>
          <w:rFonts w:ascii="Bookman Old Style" w:hAnsi="Bookman Old Style" w:cstheme="minorHAnsi"/>
          <w:w w:val="90"/>
          <w:sz w:val="24"/>
          <w:szCs w:val="24"/>
        </w:rPr>
        <w:t xml:space="preserve"> words, </w:t>
      </w:r>
      <w:r w:rsidR="000F758A" w:rsidRPr="00926577">
        <w:rPr>
          <w:rFonts w:ascii="Bookman Old Style" w:hAnsi="Bookman Old Style" w:cstheme="minorHAnsi"/>
          <w:w w:val="90"/>
          <w:sz w:val="24"/>
          <w:szCs w:val="24"/>
        </w:rPr>
        <w:t xml:space="preserve">due 31 </w:t>
      </w:r>
      <w:r w:rsidR="00B0314D" w:rsidRPr="00926577">
        <w:rPr>
          <w:rFonts w:ascii="Bookman Old Style" w:hAnsi="Bookman Old Style" w:cstheme="minorHAnsi"/>
          <w:w w:val="90"/>
          <w:sz w:val="24"/>
          <w:szCs w:val="24"/>
        </w:rPr>
        <w:t>Ju</w:t>
      </w:r>
      <w:r w:rsidR="00B077B3" w:rsidRPr="00926577">
        <w:rPr>
          <w:rFonts w:ascii="Bookman Old Style" w:hAnsi="Bookman Old Style" w:cstheme="minorHAnsi"/>
          <w:w w:val="90"/>
          <w:sz w:val="24"/>
          <w:szCs w:val="24"/>
        </w:rPr>
        <w:t>ne</w:t>
      </w:r>
      <w:r w:rsidR="000F758A" w:rsidRPr="00926577">
        <w:rPr>
          <w:rFonts w:ascii="Bookman Old Style" w:hAnsi="Bookman Old Style" w:cstheme="minorHAnsi"/>
          <w:w w:val="90"/>
          <w:sz w:val="24"/>
          <w:szCs w:val="24"/>
        </w:rPr>
        <w:t xml:space="preserve"> 202</w:t>
      </w:r>
      <w:r w:rsidR="00B077B3" w:rsidRPr="00926577">
        <w:rPr>
          <w:rFonts w:ascii="Bookman Old Style" w:hAnsi="Bookman Old Style" w:cstheme="minorHAnsi"/>
          <w:w w:val="90"/>
          <w:sz w:val="24"/>
          <w:szCs w:val="24"/>
        </w:rPr>
        <w:t>6</w:t>
      </w:r>
      <w:r w:rsidRPr="00926577">
        <w:rPr>
          <w:rFonts w:ascii="Bookman Old Style" w:hAnsi="Bookman Old Style" w:cstheme="minorHAnsi"/>
          <w:w w:val="90"/>
          <w:sz w:val="24"/>
          <w:szCs w:val="24"/>
        </w:rPr>
        <w:t>.</w:t>
      </w:r>
      <w:r w:rsidRPr="00926577">
        <w:rPr>
          <w:rFonts w:ascii="Bookman Old Style" w:hAnsi="Bookman Old Style"/>
          <w:w w:val="90"/>
          <w:sz w:val="24"/>
          <w:szCs w:val="24"/>
        </w:rPr>
        <w:t xml:space="preserve"> </w:t>
      </w:r>
    </w:p>
    <w:p w14:paraId="41841789" w14:textId="1013F0D1" w:rsidR="00764BBD" w:rsidRPr="00094290" w:rsidRDefault="008146A4" w:rsidP="008A21D3">
      <w:pPr>
        <w:spacing w:before="120" w:after="0" w:line="240" w:lineRule="auto"/>
        <w:rPr>
          <w:rFonts w:ascii="Bookman Old Style" w:hAnsi="Bookman Old Style"/>
          <w:w w:val="90"/>
          <w:sz w:val="24"/>
          <w:szCs w:val="24"/>
        </w:rPr>
      </w:pPr>
      <w:r w:rsidRPr="00926577">
        <w:rPr>
          <w:rFonts w:ascii="Bookman Old Style" w:hAnsi="Bookman Old Style"/>
          <w:w w:val="90"/>
          <w:sz w:val="24"/>
          <w:szCs w:val="24"/>
        </w:rPr>
        <w:t>S</w:t>
      </w:r>
      <w:r w:rsidR="00C07246" w:rsidRPr="00926577">
        <w:rPr>
          <w:rFonts w:ascii="Bookman Old Style" w:hAnsi="Bookman Old Style"/>
          <w:w w:val="90"/>
          <w:sz w:val="24"/>
          <w:szCs w:val="24"/>
        </w:rPr>
        <w:t>end your title, a 300-word synopsis</w:t>
      </w:r>
      <w:r w:rsidR="00E561C6" w:rsidRPr="00926577">
        <w:rPr>
          <w:rFonts w:ascii="Bookman Old Style" w:hAnsi="Bookman Old Style"/>
          <w:w w:val="90"/>
          <w:sz w:val="24"/>
          <w:szCs w:val="24"/>
        </w:rPr>
        <w:t xml:space="preserve"> and</w:t>
      </w:r>
      <w:r w:rsidR="00C07246" w:rsidRPr="00926577">
        <w:rPr>
          <w:rFonts w:ascii="Bookman Old Style" w:hAnsi="Bookman Old Style"/>
          <w:w w:val="90"/>
          <w:sz w:val="24"/>
          <w:szCs w:val="24"/>
        </w:rPr>
        <w:t xml:space="preserve"> a 1</w:t>
      </w:r>
      <w:r w:rsidR="00F313CB" w:rsidRPr="00926577">
        <w:rPr>
          <w:rFonts w:ascii="Bookman Old Style" w:hAnsi="Bookman Old Style"/>
          <w:w w:val="90"/>
          <w:sz w:val="24"/>
          <w:szCs w:val="24"/>
        </w:rPr>
        <w:t>0</w:t>
      </w:r>
      <w:r w:rsidR="00C07246" w:rsidRPr="00926577">
        <w:rPr>
          <w:rFonts w:ascii="Bookman Old Style" w:hAnsi="Bookman Old Style"/>
          <w:w w:val="90"/>
          <w:sz w:val="24"/>
          <w:szCs w:val="24"/>
        </w:rPr>
        <w:t xml:space="preserve">0-word biography by </w:t>
      </w:r>
      <w:r w:rsidR="00C07246" w:rsidRPr="00926577">
        <w:rPr>
          <w:rFonts w:ascii="Bookman Old Style" w:hAnsi="Bookman Old Style"/>
          <w:b/>
          <w:bCs/>
          <w:i/>
          <w:w w:val="90"/>
          <w:sz w:val="24"/>
          <w:szCs w:val="24"/>
        </w:rPr>
        <w:t>1</w:t>
      </w:r>
      <w:r w:rsidR="00744C53" w:rsidRPr="00926577">
        <w:rPr>
          <w:rFonts w:ascii="Bookman Old Style" w:hAnsi="Bookman Old Style"/>
          <w:b/>
          <w:bCs/>
          <w:i/>
          <w:w w:val="90"/>
          <w:sz w:val="24"/>
          <w:szCs w:val="24"/>
        </w:rPr>
        <w:t>6</w:t>
      </w:r>
      <w:r w:rsidR="00C07246" w:rsidRPr="00926577">
        <w:rPr>
          <w:rFonts w:ascii="Bookman Old Style" w:hAnsi="Bookman Old Style"/>
          <w:b/>
          <w:bCs/>
          <w:i/>
          <w:w w:val="90"/>
          <w:sz w:val="24"/>
          <w:szCs w:val="24"/>
        </w:rPr>
        <w:t xml:space="preserve"> </w:t>
      </w:r>
      <w:r w:rsidR="00B87D44" w:rsidRPr="00926577">
        <w:rPr>
          <w:rFonts w:ascii="Bookman Old Style" w:hAnsi="Bookman Old Style"/>
          <w:b/>
          <w:bCs/>
          <w:i/>
          <w:w w:val="90"/>
          <w:sz w:val="24"/>
          <w:szCs w:val="24"/>
        </w:rPr>
        <w:t>January</w:t>
      </w:r>
      <w:r w:rsidR="00C07246" w:rsidRPr="00926577">
        <w:rPr>
          <w:rFonts w:ascii="Bookman Old Style" w:hAnsi="Bookman Old Style"/>
          <w:b/>
          <w:bCs/>
          <w:i/>
          <w:w w:val="90"/>
          <w:sz w:val="24"/>
          <w:szCs w:val="24"/>
        </w:rPr>
        <w:t xml:space="preserve"> 202</w:t>
      </w:r>
      <w:r w:rsidR="00B87D44" w:rsidRPr="00926577">
        <w:rPr>
          <w:rFonts w:ascii="Bookman Old Style" w:hAnsi="Bookman Old Style"/>
          <w:b/>
          <w:bCs/>
          <w:i/>
          <w:w w:val="90"/>
          <w:sz w:val="24"/>
          <w:szCs w:val="24"/>
        </w:rPr>
        <w:t>6</w:t>
      </w:r>
      <w:r w:rsidR="00C07246" w:rsidRPr="00926577">
        <w:rPr>
          <w:rFonts w:ascii="Bookman Old Style" w:hAnsi="Bookman Old Style"/>
          <w:w w:val="90"/>
          <w:sz w:val="24"/>
          <w:szCs w:val="24"/>
        </w:rPr>
        <w:t xml:space="preserve"> </w:t>
      </w:r>
      <w:r w:rsidR="000E5EFC" w:rsidRPr="00926577">
        <w:rPr>
          <w:rFonts w:ascii="Bookman Old Style" w:hAnsi="Bookman Old Style"/>
          <w:w w:val="90"/>
          <w:sz w:val="24"/>
          <w:szCs w:val="24"/>
        </w:rPr>
        <w:t xml:space="preserve">or earlier </w:t>
      </w:r>
      <w:r w:rsidR="00C07246" w:rsidRPr="00926577">
        <w:rPr>
          <w:rFonts w:ascii="Bookman Old Style" w:hAnsi="Bookman Old Style"/>
          <w:w w:val="90"/>
          <w:sz w:val="24"/>
          <w:szCs w:val="24"/>
        </w:rPr>
        <w:t xml:space="preserve">to </w:t>
      </w:r>
      <w:r w:rsidR="0011016C" w:rsidRPr="00926577">
        <w:rPr>
          <w:rFonts w:ascii="Bookman Old Style" w:hAnsi="Bookman Old Style"/>
          <w:w w:val="90"/>
          <w:sz w:val="24"/>
          <w:szCs w:val="24"/>
        </w:rPr>
        <w:t xml:space="preserve">Roger Bendall </w:t>
      </w:r>
      <w:hyperlink r:id="rId12" w:history="1">
        <w:r w:rsidR="0011016C" w:rsidRPr="00926577">
          <w:rPr>
            <w:rStyle w:val="Hyperlink"/>
            <w:rFonts w:ascii="Bookman Old Style" w:hAnsi="Bookman Old Style"/>
            <w:w w:val="90"/>
            <w:sz w:val="24"/>
            <w:szCs w:val="24"/>
          </w:rPr>
          <w:t>roger@rogerbendall.com</w:t>
        </w:r>
      </w:hyperlink>
      <w:r w:rsidR="0011016C" w:rsidRPr="00926577">
        <w:rPr>
          <w:rFonts w:ascii="Bookman Old Style" w:hAnsi="Bookman Old Style"/>
          <w:w w:val="90"/>
          <w:sz w:val="24"/>
          <w:szCs w:val="24"/>
        </w:rPr>
        <w:t xml:space="preserve"> and Dr </w:t>
      </w:r>
      <w:r w:rsidR="00C07246" w:rsidRPr="00926577">
        <w:rPr>
          <w:rFonts w:ascii="Bookman Old Style" w:hAnsi="Bookman Old Style"/>
          <w:w w:val="90"/>
          <w:sz w:val="24"/>
          <w:szCs w:val="24"/>
        </w:rPr>
        <w:t xml:space="preserve">Ann Coats </w:t>
      </w:r>
      <w:hyperlink r:id="rId13" w:history="1">
        <w:r w:rsidR="00C07246" w:rsidRPr="00926577">
          <w:rPr>
            <w:rStyle w:val="Hyperlink"/>
            <w:rFonts w:ascii="Bookman Old Style" w:hAnsi="Bookman Old Style"/>
            <w:color w:val="0070C0"/>
            <w:w w:val="90"/>
            <w:sz w:val="24"/>
            <w:szCs w:val="24"/>
          </w:rPr>
          <w:t>avcoatsndschair</w:t>
        </w:r>
        <w:r w:rsidR="00C07246" w:rsidRPr="00926577">
          <w:rPr>
            <w:rStyle w:val="Hyperlink"/>
            <w:rFonts w:ascii="Bookman Old Style" w:hAnsi="Bookman Old Style"/>
            <w:w w:val="90"/>
            <w:sz w:val="24"/>
            <w:szCs w:val="24"/>
          </w:rPr>
          <w:t>@gmail.com</w:t>
        </w:r>
      </w:hyperlink>
      <w:r w:rsidR="0080360D" w:rsidRPr="00926577">
        <w:rPr>
          <w:rStyle w:val="Hyperlink"/>
          <w:rFonts w:ascii="Bookman Old Style" w:hAnsi="Bookman Old Style"/>
          <w:w w:val="90"/>
          <w:sz w:val="24"/>
          <w:szCs w:val="24"/>
          <w:u w:val="none"/>
        </w:rPr>
        <w:t xml:space="preserve"> </w:t>
      </w:r>
      <w:r w:rsidR="0080360D" w:rsidRPr="00926577">
        <w:rPr>
          <w:rFonts w:ascii="Bookman Old Style" w:hAnsi="Bookman Old Style"/>
          <w:b/>
          <w:bCs/>
          <w:w w:val="90"/>
          <w:sz w:val="24"/>
          <w:szCs w:val="24"/>
        </w:rPr>
        <w:t>N.B.</w:t>
      </w:r>
      <w:r w:rsidR="0080360D" w:rsidRPr="00926577">
        <w:rPr>
          <w:rFonts w:ascii="Bookman Old Style" w:hAnsi="Bookman Old Style"/>
          <w:w w:val="90"/>
          <w:sz w:val="24"/>
          <w:szCs w:val="24"/>
        </w:rPr>
        <w:t xml:space="preserve"> The proposal should present original research.</w:t>
      </w:r>
    </w:p>
    <w:p w14:paraId="55D906EC" w14:textId="6F1CC733" w:rsidR="008A21D3" w:rsidRPr="00094290" w:rsidRDefault="008146A4" w:rsidP="00094290">
      <w:pPr>
        <w:spacing w:before="240" w:after="0" w:line="240" w:lineRule="auto"/>
        <w:rPr>
          <w:rFonts w:ascii="Bookman Old Style" w:hAnsi="Bookman Old Style"/>
        </w:rPr>
      </w:pPr>
      <w:hyperlink r:id="rId14" w:history="1">
        <w:r w:rsidRPr="00A46DD7">
          <w:rPr>
            <w:rStyle w:val="Hyperlink"/>
            <w:rFonts w:ascii="Bookman Old Style" w:hAnsi="Bookman Old Style"/>
          </w:rPr>
          <w:t>https://navaldockyards.org/conferences/</w:t>
        </w:r>
      </w:hyperlink>
      <w:r w:rsidR="00C1024A" w:rsidRPr="00A46DD7">
        <w:rPr>
          <w:rFonts w:ascii="Bookman Old Style" w:hAnsi="Bookman Old Style"/>
        </w:rPr>
        <w:t xml:space="preserve"> </w:t>
      </w:r>
      <w:hyperlink r:id="rId15" w:history="1">
        <w:r w:rsidR="00C1024A" w:rsidRPr="00A46DD7">
          <w:rPr>
            <w:rStyle w:val="Hyperlink"/>
            <w:rFonts w:ascii="Bookman Old Style" w:hAnsi="Bookman Old Style"/>
          </w:rPr>
          <w:t>https://navaldockyards.org/</w:t>
        </w:r>
      </w:hyperlink>
      <w:r w:rsidR="00BD6F59" w:rsidRPr="00A46DD7">
        <w:rPr>
          <w:rFonts w:ascii="Bookman Old Style" w:hAnsi="Bookman Old Style"/>
        </w:rPr>
        <w:t xml:space="preserve"> </w:t>
      </w:r>
      <w:r w:rsidR="008A21D3" w:rsidRPr="00A46DD7">
        <w:rPr>
          <w:rFonts w:ascii="Bookman Old Style" w:hAnsi="Bookman Old Style"/>
        </w:rPr>
        <w:t>Facebook: NavalDockyardsSociety</w:t>
      </w:r>
      <w:hyperlink r:id="rId16" w:history="1">
        <w:r w:rsidR="008A21D3" w:rsidRPr="00A46DD7">
          <w:rPr>
            <w:rStyle w:val="Hyperlink"/>
            <w:rFonts w:ascii="Bookman Old Style" w:hAnsi="Bookman Old Style"/>
          </w:rPr>
          <w:t>https://www.facebook.com/groups/1443502952760615</w:t>
        </w:r>
      </w:hyperlink>
    </w:p>
    <w:sectPr w:rsidR="008A21D3" w:rsidRPr="00094290" w:rsidSect="00094290">
      <w:pgSz w:w="11906" w:h="16838" w:code="9"/>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7EAD" w14:textId="77777777" w:rsidR="006131C3" w:rsidRDefault="006131C3" w:rsidP="00073964">
      <w:pPr>
        <w:spacing w:after="0" w:line="240" w:lineRule="auto"/>
      </w:pPr>
      <w:r>
        <w:separator/>
      </w:r>
    </w:p>
  </w:endnote>
  <w:endnote w:type="continuationSeparator" w:id="0">
    <w:p w14:paraId="7B0566B2" w14:textId="77777777" w:rsidR="006131C3" w:rsidRDefault="006131C3" w:rsidP="0007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nion Condensed">
    <w:altName w:val="Cambria"/>
    <w:panose1 w:val="00000000000000000000"/>
    <w:charset w:val="00"/>
    <w:family w:val="roman"/>
    <w:notTrueType/>
    <w:pitch w:val="variable"/>
    <w:sig w:usb0="00000003" w:usb1="00000000" w:usb2="00000000" w:usb3="00000000" w:csb0="00000001" w:csb1="00000000"/>
  </w:font>
  <w:font w:name="Helvetica LT Pro">
    <w:altName w:val="Arial"/>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9F00" w14:textId="77777777" w:rsidR="006131C3" w:rsidRDefault="006131C3" w:rsidP="00073964">
      <w:pPr>
        <w:spacing w:after="0" w:line="240" w:lineRule="auto"/>
      </w:pPr>
      <w:r>
        <w:separator/>
      </w:r>
    </w:p>
  </w:footnote>
  <w:footnote w:type="continuationSeparator" w:id="0">
    <w:p w14:paraId="492EB8E2" w14:textId="77777777" w:rsidR="006131C3" w:rsidRDefault="006131C3" w:rsidP="00073964">
      <w:pPr>
        <w:spacing w:after="0" w:line="240" w:lineRule="auto"/>
      </w:pPr>
      <w:r>
        <w:continuationSeparator/>
      </w:r>
    </w:p>
  </w:footnote>
  <w:footnote w:id="1">
    <w:p w14:paraId="79807F33" w14:textId="2F853B1F" w:rsidR="00186338" w:rsidRDefault="00186338">
      <w:pPr>
        <w:pStyle w:val="FootnoteText"/>
      </w:pPr>
      <w:r w:rsidRPr="00186338">
        <w:rPr>
          <w:rStyle w:val="FootnoteReference"/>
        </w:rPr>
        <w:sym w:font="Symbol" w:char="F02A"/>
      </w:r>
      <w:r>
        <w:t xml:space="preserve"> </w:t>
      </w:r>
      <w:r w:rsidR="00D31CC4" w:rsidRPr="00C956E0">
        <w:rPr>
          <w:rFonts w:ascii="Bookman Old Style" w:hAnsi="Bookman Old Style" w:cs="Times New Roman"/>
          <w:sz w:val="18"/>
          <w:szCs w:val="18"/>
        </w:rPr>
        <w:t xml:space="preserve">Nutting, Anthony. </w:t>
      </w:r>
      <w:r w:rsidR="00D31CC4" w:rsidRPr="00C956E0">
        <w:rPr>
          <w:rFonts w:ascii="Bookman Old Style" w:hAnsi="Bookman Old Style" w:cs="Times New Roman"/>
          <w:i/>
          <w:iCs/>
          <w:sz w:val="18"/>
          <w:szCs w:val="18"/>
        </w:rPr>
        <w:t>No End of a Lesson</w:t>
      </w:r>
      <w:r w:rsidR="00D31CC4" w:rsidRPr="00C956E0">
        <w:rPr>
          <w:rFonts w:ascii="Bookman Old Style" w:hAnsi="Bookman Old Style" w:cs="Times New Roman"/>
          <w:sz w:val="18"/>
          <w:szCs w:val="18"/>
        </w:rPr>
        <w:t xml:space="preserve">. </w:t>
      </w:r>
      <w:r w:rsidR="00D31CC4" w:rsidRPr="00C956E0">
        <w:rPr>
          <w:rStyle w:val="opt-publisher"/>
          <w:rFonts w:ascii="Bookman Old Style" w:hAnsi="Bookman Old Style" w:cs="Times New Roman"/>
          <w:sz w:val="18"/>
          <w:szCs w:val="18"/>
        </w:rPr>
        <w:t xml:space="preserve">Constable, </w:t>
      </w:r>
      <w:r w:rsidR="00D31CC4" w:rsidRPr="00C956E0">
        <w:rPr>
          <w:rStyle w:val="opt-publish-date"/>
          <w:rFonts w:ascii="Bookman Old Style" w:hAnsi="Bookman Old Style" w:cs="Times New Roman"/>
          <w:sz w:val="18"/>
          <w:szCs w:val="18"/>
        </w:rPr>
        <w:t>1967.</w:t>
      </w:r>
      <w:r w:rsidR="00D31CC4" w:rsidRPr="00C956E0">
        <w:rPr>
          <w:rFonts w:ascii="Bookman Old Style" w:hAnsi="Bookman Old Style" w:cs="Times New Roman"/>
          <w:sz w:val="18"/>
          <w:szCs w:val="18"/>
        </w:rPr>
        <w:t xml:space="preserve"> p. 108. A noted Arabist, Nutting resigned as Under</w:t>
      </w:r>
      <w:r w:rsidR="00D31CC4">
        <w:rPr>
          <w:rFonts w:ascii="Bookman Old Style" w:hAnsi="Bookman Old Style" w:cs="Times New Roman"/>
          <w:sz w:val="18"/>
          <w:szCs w:val="18"/>
        </w:rPr>
        <w:t>-</w:t>
      </w:r>
      <w:r w:rsidR="00D31CC4" w:rsidRPr="00C956E0">
        <w:rPr>
          <w:rFonts w:ascii="Bookman Old Style" w:hAnsi="Bookman Old Style" w:cs="Times New Roman"/>
          <w:sz w:val="18"/>
          <w:szCs w:val="18"/>
        </w:rPr>
        <w:t>Secretary of State for Foreign Affairs in protest at the invasion of Egypt.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FA8"/>
    <w:multiLevelType w:val="hybridMultilevel"/>
    <w:tmpl w:val="E326A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85E1D"/>
    <w:multiLevelType w:val="hybridMultilevel"/>
    <w:tmpl w:val="DC44A69C"/>
    <w:lvl w:ilvl="0" w:tplc="6D6EA92E">
      <w:start w:val="1"/>
      <w:numFmt w:val="decimal"/>
      <w:lvlText w:val="%1."/>
      <w:lvlJc w:val="left"/>
      <w:pPr>
        <w:ind w:left="785" w:hanging="360"/>
      </w:pPr>
      <w:rPr>
        <w:rFonts w:hint="default"/>
        <w:color w:val="4472C4" w:themeColor="accent1"/>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1BCD48DA"/>
    <w:multiLevelType w:val="hybridMultilevel"/>
    <w:tmpl w:val="5A26F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D2667"/>
    <w:multiLevelType w:val="hybridMultilevel"/>
    <w:tmpl w:val="9F40093A"/>
    <w:lvl w:ilvl="0" w:tplc="482C54F4">
      <w:start w:val="25"/>
      <w:numFmt w:val="bullet"/>
      <w:lvlText w:val="-"/>
      <w:lvlJc w:val="left"/>
      <w:pPr>
        <w:ind w:left="720" w:hanging="360"/>
      </w:pPr>
      <w:rPr>
        <w:rFonts w:ascii="Bookman Old Style" w:eastAsiaTheme="minorHAnsi" w:hAnsi="Bookman Old Styl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C2D5B"/>
    <w:multiLevelType w:val="multilevel"/>
    <w:tmpl w:val="83362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9426B5"/>
    <w:multiLevelType w:val="multilevel"/>
    <w:tmpl w:val="29A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E1739"/>
    <w:multiLevelType w:val="hybridMultilevel"/>
    <w:tmpl w:val="B4BC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77A0A"/>
    <w:multiLevelType w:val="multilevel"/>
    <w:tmpl w:val="5AE0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02738"/>
    <w:multiLevelType w:val="multilevel"/>
    <w:tmpl w:val="6E6C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B5AD2"/>
    <w:multiLevelType w:val="multilevel"/>
    <w:tmpl w:val="E16A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B73FB"/>
    <w:multiLevelType w:val="multilevel"/>
    <w:tmpl w:val="717C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10867"/>
    <w:multiLevelType w:val="multilevel"/>
    <w:tmpl w:val="EEF2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D6E97"/>
    <w:multiLevelType w:val="hybridMultilevel"/>
    <w:tmpl w:val="540E2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5258E3"/>
    <w:multiLevelType w:val="hybridMultilevel"/>
    <w:tmpl w:val="84C8870C"/>
    <w:lvl w:ilvl="0" w:tplc="A4F6E8E6">
      <w:start w:val="25"/>
      <w:numFmt w:val="bullet"/>
      <w:lvlText w:val="-"/>
      <w:lvlJc w:val="left"/>
      <w:pPr>
        <w:ind w:left="720" w:hanging="360"/>
      </w:pPr>
      <w:rPr>
        <w:rFonts w:ascii="Bookman Old Style" w:eastAsiaTheme="minorHAnsi" w:hAnsi="Bookman Old Styl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157D3"/>
    <w:multiLevelType w:val="multilevel"/>
    <w:tmpl w:val="265E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73082"/>
    <w:multiLevelType w:val="hybridMultilevel"/>
    <w:tmpl w:val="BD6EC97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F930FD"/>
    <w:multiLevelType w:val="multilevel"/>
    <w:tmpl w:val="333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F0D30"/>
    <w:multiLevelType w:val="multilevel"/>
    <w:tmpl w:val="48A4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5B2E85"/>
    <w:multiLevelType w:val="multilevel"/>
    <w:tmpl w:val="C612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A1686"/>
    <w:multiLevelType w:val="multilevel"/>
    <w:tmpl w:val="738E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33894"/>
    <w:multiLevelType w:val="multilevel"/>
    <w:tmpl w:val="9CAA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080151">
    <w:abstractNumId w:val="2"/>
  </w:num>
  <w:num w:numId="2" w16cid:durableId="1017461106">
    <w:abstractNumId w:val="12"/>
  </w:num>
  <w:num w:numId="3" w16cid:durableId="70007035">
    <w:abstractNumId w:val="1"/>
  </w:num>
  <w:num w:numId="4" w16cid:durableId="1929456648">
    <w:abstractNumId w:val="15"/>
  </w:num>
  <w:num w:numId="5" w16cid:durableId="12805485">
    <w:abstractNumId w:val="6"/>
  </w:num>
  <w:num w:numId="6" w16cid:durableId="2002463118">
    <w:abstractNumId w:val="13"/>
  </w:num>
  <w:num w:numId="7" w16cid:durableId="983974343">
    <w:abstractNumId w:val="3"/>
  </w:num>
  <w:num w:numId="8" w16cid:durableId="530799284">
    <w:abstractNumId w:val="4"/>
  </w:num>
  <w:num w:numId="9" w16cid:durableId="329597815">
    <w:abstractNumId w:val="0"/>
  </w:num>
  <w:num w:numId="10" w16cid:durableId="1321157886">
    <w:abstractNumId w:val="5"/>
  </w:num>
  <w:num w:numId="11" w16cid:durableId="846745560">
    <w:abstractNumId w:val="20"/>
  </w:num>
  <w:num w:numId="12" w16cid:durableId="26882642">
    <w:abstractNumId w:val="8"/>
  </w:num>
  <w:num w:numId="13" w16cid:durableId="235476757">
    <w:abstractNumId w:val="14"/>
  </w:num>
  <w:num w:numId="14" w16cid:durableId="2064864349">
    <w:abstractNumId w:val="9"/>
  </w:num>
  <w:num w:numId="15" w16cid:durableId="1759666582">
    <w:abstractNumId w:val="19"/>
  </w:num>
  <w:num w:numId="16" w16cid:durableId="207960899">
    <w:abstractNumId w:val="16"/>
  </w:num>
  <w:num w:numId="17" w16cid:durableId="1418090459">
    <w:abstractNumId w:val="18"/>
  </w:num>
  <w:num w:numId="18" w16cid:durableId="1487627282">
    <w:abstractNumId w:val="10"/>
  </w:num>
  <w:num w:numId="19" w16cid:durableId="1488478063">
    <w:abstractNumId w:val="11"/>
  </w:num>
  <w:num w:numId="20" w16cid:durableId="197813457">
    <w:abstractNumId w:val="7"/>
  </w:num>
  <w:num w:numId="21" w16cid:durableId="20804424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AE"/>
    <w:rsid w:val="00001654"/>
    <w:rsid w:val="000057B8"/>
    <w:rsid w:val="000067FC"/>
    <w:rsid w:val="0000796B"/>
    <w:rsid w:val="000129D0"/>
    <w:rsid w:val="00012DAD"/>
    <w:rsid w:val="00014ECE"/>
    <w:rsid w:val="000178CE"/>
    <w:rsid w:val="00017A32"/>
    <w:rsid w:val="00020E9C"/>
    <w:rsid w:val="00030585"/>
    <w:rsid w:val="00035874"/>
    <w:rsid w:val="00042596"/>
    <w:rsid w:val="00042FDB"/>
    <w:rsid w:val="00051E21"/>
    <w:rsid w:val="000625FF"/>
    <w:rsid w:val="0006354F"/>
    <w:rsid w:val="00073964"/>
    <w:rsid w:val="00084702"/>
    <w:rsid w:val="00090423"/>
    <w:rsid w:val="00094290"/>
    <w:rsid w:val="000A1E80"/>
    <w:rsid w:val="000A7222"/>
    <w:rsid w:val="000B012A"/>
    <w:rsid w:val="000B427A"/>
    <w:rsid w:val="000B64C7"/>
    <w:rsid w:val="000C6C8E"/>
    <w:rsid w:val="000D0AF8"/>
    <w:rsid w:val="000D6730"/>
    <w:rsid w:val="000E5EFC"/>
    <w:rsid w:val="000E74C2"/>
    <w:rsid w:val="000F1287"/>
    <w:rsid w:val="000F522A"/>
    <w:rsid w:val="000F5E8D"/>
    <w:rsid w:val="000F758A"/>
    <w:rsid w:val="0010131B"/>
    <w:rsid w:val="0011016C"/>
    <w:rsid w:val="00110C5B"/>
    <w:rsid w:val="00113221"/>
    <w:rsid w:val="0011332C"/>
    <w:rsid w:val="00120643"/>
    <w:rsid w:val="00121AEB"/>
    <w:rsid w:val="00121F4B"/>
    <w:rsid w:val="00122C6F"/>
    <w:rsid w:val="00126221"/>
    <w:rsid w:val="001302D0"/>
    <w:rsid w:val="00131074"/>
    <w:rsid w:val="001371E3"/>
    <w:rsid w:val="0014065D"/>
    <w:rsid w:val="001446D7"/>
    <w:rsid w:val="00147AC2"/>
    <w:rsid w:val="001509D3"/>
    <w:rsid w:val="001525E5"/>
    <w:rsid w:val="00152948"/>
    <w:rsid w:val="00153B30"/>
    <w:rsid w:val="001605F5"/>
    <w:rsid w:val="0016308D"/>
    <w:rsid w:val="00163B00"/>
    <w:rsid w:val="00171FDF"/>
    <w:rsid w:val="00173B07"/>
    <w:rsid w:val="00177C6B"/>
    <w:rsid w:val="00181058"/>
    <w:rsid w:val="00186338"/>
    <w:rsid w:val="00186A7C"/>
    <w:rsid w:val="00187F45"/>
    <w:rsid w:val="0019344A"/>
    <w:rsid w:val="00195902"/>
    <w:rsid w:val="001B6D68"/>
    <w:rsid w:val="001B7B9E"/>
    <w:rsid w:val="001C1372"/>
    <w:rsid w:val="001C2AF3"/>
    <w:rsid w:val="001D225E"/>
    <w:rsid w:val="001D6992"/>
    <w:rsid w:val="001E09EA"/>
    <w:rsid w:val="001F318F"/>
    <w:rsid w:val="001F36CE"/>
    <w:rsid w:val="001F7214"/>
    <w:rsid w:val="00200469"/>
    <w:rsid w:val="00203160"/>
    <w:rsid w:val="00213F77"/>
    <w:rsid w:val="002278A3"/>
    <w:rsid w:val="0023292D"/>
    <w:rsid w:val="00232F38"/>
    <w:rsid w:val="00236C8D"/>
    <w:rsid w:val="00240DBF"/>
    <w:rsid w:val="002410B7"/>
    <w:rsid w:val="002418A8"/>
    <w:rsid w:val="0024219F"/>
    <w:rsid w:val="00242242"/>
    <w:rsid w:val="00252482"/>
    <w:rsid w:val="002542A6"/>
    <w:rsid w:val="002568E5"/>
    <w:rsid w:val="00260983"/>
    <w:rsid w:val="002648E4"/>
    <w:rsid w:val="00271DCD"/>
    <w:rsid w:val="0028654B"/>
    <w:rsid w:val="002B187B"/>
    <w:rsid w:val="002B3AF8"/>
    <w:rsid w:val="002B43C2"/>
    <w:rsid w:val="002B6947"/>
    <w:rsid w:val="002C046B"/>
    <w:rsid w:val="002C234D"/>
    <w:rsid w:val="002D4669"/>
    <w:rsid w:val="002D794A"/>
    <w:rsid w:val="002E029C"/>
    <w:rsid w:val="002E3D54"/>
    <w:rsid w:val="002E5E7A"/>
    <w:rsid w:val="002E793C"/>
    <w:rsid w:val="003045B0"/>
    <w:rsid w:val="00310544"/>
    <w:rsid w:val="00310D69"/>
    <w:rsid w:val="00313390"/>
    <w:rsid w:val="00325766"/>
    <w:rsid w:val="00327581"/>
    <w:rsid w:val="00333440"/>
    <w:rsid w:val="00333FCE"/>
    <w:rsid w:val="003355F2"/>
    <w:rsid w:val="0033724B"/>
    <w:rsid w:val="00337FFA"/>
    <w:rsid w:val="00343A41"/>
    <w:rsid w:val="0035366C"/>
    <w:rsid w:val="00353E38"/>
    <w:rsid w:val="003578C9"/>
    <w:rsid w:val="00364DD1"/>
    <w:rsid w:val="003727E8"/>
    <w:rsid w:val="00374D2A"/>
    <w:rsid w:val="00383016"/>
    <w:rsid w:val="003853CC"/>
    <w:rsid w:val="00387935"/>
    <w:rsid w:val="00391583"/>
    <w:rsid w:val="00391E82"/>
    <w:rsid w:val="00395F51"/>
    <w:rsid w:val="00396FF3"/>
    <w:rsid w:val="003A113B"/>
    <w:rsid w:val="003A6C9F"/>
    <w:rsid w:val="003D7BEB"/>
    <w:rsid w:val="003E0B33"/>
    <w:rsid w:val="003E1973"/>
    <w:rsid w:val="003E621E"/>
    <w:rsid w:val="003F7DC3"/>
    <w:rsid w:val="00405A62"/>
    <w:rsid w:val="00406316"/>
    <w:rsid w:val="0041102B"/>
    <w:rsid w:val="00411C03"/>
    <w:rsid w:val="0041488E"/>
    <w:rsid w:val="00416981"/>
    <w:rsid w:val="00420B6F"/>
    <w:rsid w:val="00431B1A"/>
    <w:rsid w:val="00433594"/>
    <w:rsid w:val="00435664"/>
    <w:rsid w:val="0044328A"/>
    <w:rsid w:val="0044474A"/>
    <w:rsid w:val="00446414"/>
    <w:rsid w:val="004502E7"/>
    <w:rsid w:val="00452BB5"/>
    <w:rsid w:val="00454D79"/>
    <w:rsid w:val="004551F4"/>
    <w:rsid w:val="004628BB"/>
    <w:rsid w:val="00462E3A"/>
    <w:rsid w:val="00463462"/>
    <w:rsid w:val="0048292F"/>
    <w:rsid w:val="004868C4"/>
    <w:rsid w:val="00490596"/>
    <w:rsid w:val="00491CAE"/>
    <w:rsid w:val="00491CC0"/>
    <w:rsid w:val="004975A5"/>
    <w:rsid w:val="004A0ECA"/>
    <w:rsid w:val="004A39F5"/>
    <w:rsid w:val="004A4546"/>
    <w:rsid w:val="004A66EF"/>
    <w:rsid w:val="004A7254"/>
    <w:rsid w:val="004B08C1"/>
    <w:rsid w:val="004B71AB"/>
    <w:rsid w:val="004C5DC4"/>
    <w:rsid w:val="004D5376"/>
    <w:rsid w:val="004D54E5"/>
    <w:rsid w:val="004E4BA4"/>
    <w:rsid w:val="00500317"/>
    <w:rsid w:val="00500CCE"/>
    <w:rsid w:val="00506C8F"/>
    <w:rsid w:val="005252AC"/>
    <w:rsid w:val="00546D98"/>
    <w:rsid w:val="00554C59"/>
    <w:rsid w:val="00562E1A"/>
    <w:rsid w:val="005679A3"/>
    <w:rsid w:val="00575C69"/>
    <w:rsid w:val="00577288"/>
    <w:rsid w:val="005852D5"/>
    <w:rsid w:val="0058702E"/>
    <w:rsid w:val="005A65DA"/>
    <w:rsid w:val="005B4910"/>
    <w:rsid w:val="005C1D5D"/>
    <w:rsid w:val="005C550E"/>
    <w:rsid w:val="005C704D"/>
    <w:rsid w:val="005D58EA"/>
    <w:rsid w:val="005E53DA"/>
    <w:rsid w:val="005F0369"/>
    <w:rsid w:val="005F0EF2"/>
    <w:rsid w:val="005F124F"/>
    <w:rsid w:val="00600C5F"/>
    <w:rsid w:val="0061056D"/>
    <w:rsid w:val="00610CA4"/>
    <w:rsid w:val="006131C3"/>
    <w:rsid w:val="0061362F"/>
    <w:rsid w:val="0061365A"/>
    <w:rsid w:val="00620887"/>
    <w:rsid w:val="006226BB"/>
    <w:rsid w:val="0062641D"/>
    <w:rsid w:val="00633210"/>
    <w:rsid w:val="00644200"/>
    <w:rsid w:val="00644BB7"/>
    <w:rsid w:val="00644F00"/>
    <w:rsid w:val="00644F50"/>
    <w:rsid w:val="00651BE7"/>
    <w:rsid w:val="006542A8"/>
    <w:rsid w:val="006548A2"/>
    <w:rsid w:val="00655064"/>
    <w:rsid w:val="0065635A"/>
    <w:rsid w:val="00681D37"/>
    <w:rsid w:val="00687172"/>
    <w:rsid w:val="00691568"/>
    <w:rsid w:val="00691E0D"/>
    <w:rsid w:val="00691FF1"/>
    <w:rsid w:val="00697A61"/>
    <w:rsid w:val="006B5FBA"/>
    <w:rsid w:val="006B69F2"/>
    <w:rsid w:val="006C1639"/>
    <w:rsid w:val="006C4735"/>
    <w:rsid w:val="006D0EAC"/>
    <w:rsid w:val="006D2C0F"/>
    <w:rsid w:val="006D58D1"/>
    <w:rsid w:val="006D64CA"/>
    <w:rsid w:val="006E3C74"/>
    <w:rsid w:val="006E604E"/>
    <w:rsid w:val="006F1A56"/>
    <w:rsid w:val="00700569"/>
    <w:rsid w:val="00703F3C"/>
    <w:rsid w:val="00706751"/>
    <w:rsid w:val="00721ABB"/>
    <w:rsid w:val="00727AA6"/>
    <w:rsid w:val="00735B56"/>
    <w:rsid w:val="007435E6"/>
    <w:rsid w:val="00744C53"/>
    <w:rsid w:val="007476CD"/>
    <w:rsid w:val="00747EB7"/>
    <w:rsid w:val="0075510F"/>
    <w:rsid w:val="00756731"/>
    <w:rsid w:val="00757889"/>
    <w:rsid w:val="0076366F"/>
    <w:rsid w:val="007642EF"/>
    <w:rsid w:val="00764BBD"/>
    <w:rsid w:val="0077568B"/>
    <w:rsid w:val="00780C0A"/>
    <w:rsid w:val="00784873"/>
    <w:rsid w:val="007848C3"/>
    <w:rsid w:val="007851E4"/>
    <w:rsid w:val="00785EE0"/>
    <w:rsid w:val="00786813"/>
    <w:rsid w:val="00787129"/>
    <w:rsid w:val="007A04B9"/>
    <w:rsid w:val="007A1846"/>
    <w:rsid w:val="007A4C08"/>
    <w:rsid w:val="007B4F4C"/>
    <w:rsid w:val="007B6A87"/>
    <w:rsid w:val="007C242C"/>
    <w:rsid w:val="007C6C10"/>
    <w:rsid w:val="007D5F5F"/>
    <w:rsid w:val="007D6278"/>
    <w:rsid w:val="007D650D"/>
    <w:rsid w:val="007E4A12"/>
    <w:rsid w:val="007F3FB1"/>
    <w:rsid w:val="007F79F9"/>
    <w:rsid w:val="0080360D"/>
    <w:rsid w:val="008146A4"/>
    <w:rsid w:val="00820B47"/>
    <w:rsid w:val="008210DB"/>
    <w:rsid w:val="008313B2"/>
    <w:rsid w:val="008438BD"/>
    <w:rsid w:val="008441D8"/>
    <w:rsid w:val="008449F4"/>
    <w:rsid w:val="008529EC"/>
    <w:rsid w:val="00855F7A"/>
    <w:rsid w:val="008601C0"/>
    <w:rsid w:val="0086083C"/>
    <w:rsid w:val="00863C91"/>
    <w:rsid w:val="00864D24"/>
    <w:rsid w:val="0087603C"/>
    <w:rsid w:val="00884C60"/>
    <w:rsid w:val="00894B60"/>
    <w:rsid w:val="00894E51"/>
    <w:rsid w:val="0089767C"/>
    <w:rsid w:val="008A1ADF"/>
    <w:rsid w:val="008A21D3"/>
    <w:rsid w:val="008A31E4"/>
    <w:rsid w:val="008A41E6"/>
    <w:rsid w:val="008A54E4"/>
    <w:rsid w:val="008B1F62"/>
    <w:rsid w:val="008B3B62"/>
    <w:rsid w:val="008B5786"/>
    <w:rsid w:val="008B7E4E"/>
    <w:rsid w:val="008C01B7"/>
    <w:rsid w:val="008D6BFF"/>
    <w:rsid w:val="008E0A31"/>
    <w:rsid w:val="008E64F9"/>
    <w:rsid w:val="009005B8"/>
    <w:rsid w:val="00900AB7"/>
    <w:rsid w:val="00905BA6"/>
    <w:rsid w:val="00910CA4"/>
    <w:rsid w:val="00914D33"/>
    <w:rsid w:val="00921ABD"/>
    <w:rsid w:val="00924AE2"/>
    <w:rsid w:val="00926577"/>
    <w:rsid w:val="0093309E"/>
    <w:rsid w:val="00934E86"/>
    <w:rsid w:val="0094533F"/>
    <w:rsid w:val="00947DCB"/>
    <w:rsid w:val="00954380"/>
    <w:rsid w:val="009579A6"/>
    <w:rsid w:val="0096010D"/>
    <w:rsid w:val="00960DF4"/>
    <w:rsid w:val="00967DA3"/>
    <w:rsid w:val="009740C0"/>
    <w:rsid w:val="00982272"/>
    <w:rsid w:val="00982313"/>
    <w:rsid w:val="0098625A"/>
    <w:rsid w:val="00990E8F"/>
    <w:rsid w:val="00995281"/>
    <w:rsid w:val="009953DA"/>
    <w:rsid w:val="009A6C87"/>
    <w:rsid w:val="009C081B"/>
    <w:rsid w:val="009C45BA"/>
    <w:rsid w:val="009C5DF3"/>
    <w:rsid w:val="009D42D1"/>
    <w:rsid w:val="009E6229"/>
    <w:rsid w:val="009F1736"/>
    <w:rsid w:val="009F5DB4"/>
    <w:rsid w:val="009F669D"/>
    <w:rsid w:val="009F7089"/>
    <w:rsid w:val="00A04DE1"/>
    <w:rsid w:val="00A06AC4"/>
    <w:rsid w:val="00A1611C"/>
    <w:rsid w:val="00A168D2"/>
    <w:rsid w:val="00A246D0"/>
    <w:rsid w:val="00A4577A"/>
    <w:rsid w:val="00A46DD7"/>
    <w:rsid w:val="00A52AF9"/>
    <w:rsid w:val="00A54CE3"/>
    <w:rsid w:val="00A56F73"/>
    <w:rsid w:val="00A5795B"/>
    <w:rsid w:val="00A61D5D"/>
    <w:rsid w:val="00A629ED"/>
    <w:rsid w:val="00A642EC"/>
    <w:rsid w:val="00A64707"/>
    <w:rsid w:val="00A66148"/>
    <w:rsid w:val="00A74587"/>
    <w:rsid w:val="00A74E05"/>
    <w:rsid w:val="00A763B4"/>
    <w:rsid w:val="00A76450"/>
    <w:rsid w:val="00A76B08"/>
    <w:rsid w:val="00A92C27"/>
    <w:rsid w:val="00A97689"/>
    <w:rsid w:val="00A97A6C"/>
    <w:rsid w:val="00AA1D12"/>
    <w:rsid w:val="00AB2EB9"/>
    <w:rsid w:val="00AB3794"/>
    <w:rsid w:val="00AD4CC3"/>
    <w:rsid w:val="00AD7D8E"/>
    <w:rsid w:val="00AD7F5D"/>
    <w:rsid w:val="00AE3371"/>
    <w:rsid w:val="00AE5997"/>
    <w:rsid w:val="00AE7A1E"/>
    <w:rsid w:val="00AF2B05"/>
    <w:rsid w:val="00B0139A"/>
    <w:rsid w:val="00B0314D"/>
    <w:rsid w:val="00B077B3"/>
    <w:rsid w:val="00B10690"/>
    <w:rsid w:val="00B10D2A"/>
    <w:rsid w:val="00B12BC1"/>
    <w:rsid w:val="00B16476"/>
    <w:rsid w:val="00B25AF6"/>
    <w:rsid w:val="00B3392F"/>
    <w:rsid w:val="00B4092D"/>
    <w:rsid w:val="00B42B4C"/>
    <w:rsid w:val="00B42B85"/>
    <w:rsid w:val="00B43091"/>
    <w:rsid w:val="00B47488"/>
    <w:rsid w:val="00B501FD"/>
    <w:rsid w:val="00B5761E"/>
    <w:rsid w:val="00B57662"/>
    <w:rsid w:val="00B72A90"/>
    <w:rsid w:val="00B76310"/>
    <w:rsid w:val="00B76A0D"/>
    <w:rsid w:val="00B8016C"/>
    <w:rsid w:val="00B8490D"/>
    <w:rsid w:val="00B86181"/>
    <w:rsid w:val="00B87D44"/>
    <w:rsid w:val="00B9624C"/>
    <w:rsid w:val="00B96BC2"/>
    <w:rsid w:val="00BA5275"/>
    <w:rsid w:val="00BB192F"/>
    <w:rsid w:val="00BC0DC2"/>
    <w:rsid w:val="00BC0DD8"/>
    <w:rsid w:val="00BC6C11"/>
    <w:rsid w:val="00BD6F59"/>
    <w:rsid w:val="00BE29B6"/>
    <w:rsid w:val="00BE5677"/>
    <w:rsid w:val="00BF1F28"/>
    <w:rsid w:val="00BF26A7"/>
    <w:rsid w:val="00BF4A75"/>
    <w:rsid w:val="00BF6272"/>
    <w:rsid w:val="00BF6D7B"/>
    <w:rsid w:val="00BF725A"/>
    <w:rsid w:val="00C02E35"/>
    <w:rsid w:val="00C07246"/>
    <w:rsid w:val="00C1024A"/>
    <w:rsid w:val="00C1297C"/>
    <w:rsid w:val="00C1390B"/>
    <w:rsid w:val="00C13C73"/>
    <w:rsid w:val="00C30AE8"/>
    <w:rsid w:val="00C31F6A"/>
    <w:rsid w:val="00C326B0"/>
    <w:rsid w:val="00C334BF"/>
    <w:rsid w:val="00C42BAB"/>
    <w:rsid w:val="00C448A2"/>
    <w:rsid w:val="00C512E5"/>
    <w:rsid w:val="00C56512"/>
    <w:rsid w:val="00C641A8"/>
    <w:rsid w:val="00C6509A"/>
    <w:rsid w:val="00C66FB1"/>
    <w:rsid w:val="00C77113"/>
    <w:rsid w:val="00C82523"/>
    <w:rsid w:val="00C84467"/>
    <w:rsid w:val="00C90393"/>
    <w:rsid w:val="00C91D1B"/>
    <w:rsid w:val="00C921AF"/>
    <w:rsid w:val="00C94959"/>
    <w:rsid w:val="00C956E0"/>
    <w:rsid w:val="00CA6D41"/>
    <w:rsid w:val="00CB4A60"/>
    <w:rsid w:val="00CB5E8C"/>
    <w:rsid w:val="00CB5F91"/>
    <w:rsid w:val="00CC2261"/>
    <w:rsid w:val="00CD4FB8"/>
    <w:rsid w:val="00CE25D9"/>
    <w:rsid w:val="00CE4575"/>
    <w:rsid w:val="00CF03EA"/>
    <w:rsid w:val="00CF220D"/>
    <w:rsid w:val="00CF4092"/>
    <w:rsid w:val="00CF70C8"/>
    <w:rsid w:val="00D033ED"/>
    <w:rsid w:val="00D07B8A"/>
    <w:rsid w:val="00D10D47"/>
    <w:rsid w:val="00D10EE0"/>
    <w:rsid w:val="00D22A36"/>
    <w:rsid w:val="00D2300F"/>
    <w:rsid w:val="00D31CC4"/>
    <w:rsid w:val="00D37514"/>
    <w:rsid w:val="00D41565"/>
    <w:rsid w:val="00D43AC8"/>
    <w:rsid w:val="00D4493D"/>
    <w:rsid w:val="00D6089A"/>
    <w:rsid w:val="00D62AC6"/>
    <w:rsid w:val="00D75181"/>
    <w:rsid w:val="00D76557"/>
    <w:rsid w:val="00D849F4"/>
    <w:rsid w:val="00D85CFD"/>
    <w:rsid w:val="00DA0A88"/>
    <w:rsid w:val="00DA0DB1"/>
    <w:rsid w:val="00DA2BFD"/>
    <w:rsid w:val="00DA44D8"/>
    <w:rsid w:val="00DA553E"/>
    <w:rsid w:val="00DB4128"/>
    <w:rsid w:val="00DB5063"/>
    <w:rsid w:val="00DB66DE"/>
    <w:rsid w:val="00DB7876"/>
    <w:rsid w:val="00DC446D"/>
    <w:rsid w:val="00DC7CE7"/>
    <w:rsid w:val="00DD2FAB"/>
    <w:rsid w:val="00DD6B25"/>
    <w:rsid w:val="00DE08F1"/>
    <w:rsid w:val="00DE7BEA"/>
    <w:rsid w:val="00DF393C"/>
    <w:rsid w:val="00DF633A"/>
    <w:rsid w:val="00E00F61"/>
    <w:rsid w:val="00E072EC"/>
    <w:rsid w:val="00E13999"/>
    <w:rsid w:val="00E15A96"/>
    <w:rsid w:val="00E16CBA"/>
    <w:rsid w:val="00E21FC1"/>
    <w:rsid w:val="00E36B17"/>
    <w:rsid w:val="00E374B0"/>
    <w:rsid w:val="00E3787E"/>
    <w:rsid w:val="00E42D8A"/>
    <w:rsid w:val="00E46C17"/>
    <w:rsid w:val="00E55A87"/>
    <w:rsid w:val="00E561C6"/>
    <w:rsid w:val="00E568C0"/>
    <w:rsid w:val="00E614E0"/>
    <w:rsid w:val="00E64923"/>
    <w:rsid w:val="00E70F7C"/>
    <w:rsid w:val="00E739A9"/>
    <w:rsid w:val="00E73FAD"/>
    <w:rsid w:val="00E74BFC"/>
    <w:rsid w:val="00E8178C"/>
    <w:rsid w:val="00E85A85"/>
    <w:rsid w:val="00E91897"/>
    <w:rsid w:val="00E9228C"/>
    <w:rsid w:val="00E93118"/>
    <w:rsid w:val="00EA031C"/>
    <w:rsid w:val="00EA594F"/>
    <w:rsid w:val="00EA780F"/>
    <w:rsid w:val="00EB1301"/>
    <w:rsid w:val="00EB21D8"/>
    <w:rsid w:val="00EB7D31"/>
    <w:rsid w:val="00EC1B5E"/>
    <w:rsid w:val="00EC5C58"/>
    <w:rsid w:val="00ED74F9"/>
    <w:rsid w:val="00ED793C"/>
    <w:rsid w:val="00EE20B4"/>
    <w:rsid w:val="00EE2DE3"/>
    <w:rsid w:val="00EE47FE"/>
    <w:rsid w:val="00EE73FC"/>
    <w:rsid w:val="00EF7C6C"/>
    <w:rsid w:val="00F013B4"/>
    <w:rsid w:val="00F02CFF"/>
    <w:rsid w:val="00F105DD"/>
    <w:rsid w:val="00F1365F"/>
    <w:rsid w:val="00F136FF"/>
    <w:rsid w:val="00F15373"/>
    <w:rsid w:val="00F16367"/>
    <w:rsid w:val="00F2097F"/>
    <w:rsid w:val="00F232C2"/>
    <w:rsid w:val="00F23CF4"/>
    <w:rsid w:val="00F313CB"/>
    <w:rsid w:val="00F315C2"/>
    <w:rsid w:val="00F350F7"/>
    <w:rsid w:val="00F3698B"/>
    <w:rsid w:val="00F419CE"/>
    <w:rsid w:val="00F4610B"/>
    <w:rsid w:val="00F47942"/>
    <w:rsid w:val="00F50AB4"/>
    <w:rsid w:val="00F52F51"/>
    <w:rsid w:val="00F5479A"/>
    <w:rsid w:val="00F54CB5"/>
    <w:rsid w:val="00F57785"/>
    <w:rsid w:val="00F7539A"/>
    <w:rsid w:val="00F869BD"/>
    <w:rsid w:val="00F91D92"/>
    <w:rsid w:val="00F949B1"/>
    <w:rsid w:val="00FA3844"/>
    <w:rsid w:val="00FD134B"/>
    <w:rsid w:val="00FD2C54"/>
    <w:rsid w:val="00FE22F9"/>
    <w:rsid w:val="00FE727C"/>
    <w:rsid w:val="00FF62A0"/>
    <w:rsid w:val="00FF7C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C47A"/>
  <w15:docId w15:val="{06E78B5D-D627-4C44-9B8A-7F6EC4F1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8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6BC2"/>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5F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CAE"/>
    <w:rPr>
      <w:color w:val="0563C1" w:themeColor="hyperlink"/>
      <w:u w:val="single"/>
    </w:rPr>
  </w:style>
  <w:style w:type="character" w:styleId="UnresolvedMention">
    <w:name w:val="Unresolved Mention"/>
    <w:basedOn w:val="DefaultParagraphFont"/>
    <w:uiPriority w:val="99"/>
    <w:semiHidden/>
    <w:unhideWhenUsed/>
    <w:rsid w:val="00491CAE"/>
    <w:rPr>
      <w:color w:val="605E5C"/>
      <w:shd w:val="clear" w:color="auto" w:fill="E1DFDD"/>
    </w:rPr>
  </w:style>
  <w:style w:type="table" w:styleId="TableGrid">
    <w:name w:val="Table Grid"/>
    <w:basedOn w:val="TableNormal"/>
    <w:uiPriority w:val="39"/>
    <w:rsid w:val="00F1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548A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548A2"/>
    <w:pPr>
      <w:ind w:left="720"/>
      <w:contextualSpacing/>
    </w:pPr>
  </w:style>
  <w:style w:type="character" w:customStyle="1" w:styleId="im">
    <w:name w:val="im"/>
    <w:basedOn w:val="DefaultParagraphFont"/>
    <w:rsid w:val="00DB7876"/>
  </w:style>
  <w:style w:type="character" w:customStyle="1" w:styleId="Heading3Char">
    <w:name w:val="Heading 3 Char"/>
    <w:basedOn w:val="DefaultParagraphFont"/>
    <w:link w:val="Heading3"/>
    <w:uiPriority w:val="9"/>
    <w:rsid w:val="00CB5F91"/>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CB5F91"/>
    <w:pPr>
      <w:spacing w:after="0" w:line="240" w:lineRule="auto"/>
      <w:jc w:val="center"/>
    </w:pPr>
    <w:rPr>
      <w:rFonts w:ascii="Minion Condensed" w:eastAsia="Times New Roman" w:hAnsi="Minion Condensed" w:cs="Times New Roman"/>
      <w:i/>
      <w:sz w:val="24"/>
      <w:szCs w:val="20"/>
    </w:rPr>
  </w:style>
  <w:style w:type="character" w:customStyle="1" w:styleId="TitleChar">
    <w:name w:val="Title Char"/>
    <w:basedOn w:val="DefaultParagraphFont"/>
    <w:link w:val="Title"/>
    <w:rsid w:val="00CB5F91"/>
    <w:rPr>
      <w:rFonts w:ascii="Minion Condensed" w:eastAsia="Times New Roman" w:hAnsi="Minion Condensed" w:cs="Times New Roman"/>
      <w:i/>
      <w:sz w:val="24"/>
      <w:szCs w:val="20"/>
    </w:rPr>
  </w:style>
  <w:style w:type="paragraph" w:styleId="BodyTextIndent">
    <w:name w:val="Body Text Indent"/>
    <w:basedOn w:val="Normal"/>
    <w:link w:val="BodyTextIndentChar"/>
    <w:rsid w:val="00CB5F9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B5F91"/>
    <w:rPr>
      <w:rFonts w:ascii="Times New Roman" w:eastAsia="Times New Roman" w:hAnsi="Times New Roman" w:cs="Times New Roman"/>
      <w:sz w:val="20"/>
      <w:szCs w:val="20"/>
    </w:rPr>
  </w:style>
  <w:style w:type="character" w:customStyle="1" w:styleId="lrzxr">
    <w:name w:val="lrzxr"/>
    <w:basedOn w:val="DefaultParagraphFont"/>
    <w:rsid w:val="00452BB5"/>
  </w:style>
  <w:style w:type="character" w:styleId="FollowedHyperlink">
    <w:name w:val="FollowedHyperlink"/>
    <w:basedOn w:val="DefaultParagraphFont"/>
    <w:uiPriority w:val="99"/>
    <w:semiHidden/>
    <w:unhideWhenUsed/>
    <w:rsid w:val="00947DCB"/>
    <w:rPr>
      <w:color w:val="954F72" w:themeColor="followedHyperlink"/>
      <w:u w:val="single"/>
    </w:rPr>
  </w:style>
  <w:style w:type="character" w:customStyle="1" w:styleId="gi">
    <w:name w:val="gi"/>
    <w:basedOn w:val="DefaultParagraphFont"/>
    <w:rsid w:val="00947DCB"/>
  </w:style>
  <w:style w:type="character" w:customStyle="1" w:styleId="Heading2Char">
    <w:name w:val="Heading 2 Char"/>
    <w:basedOn w:val="DefaultParagraphFont"/>
    <w:link w:val="Heading2"/>
    <w:uiPriority w:val="9"/>
    <w:rsid w:val="00B96BC2"/>
    <w:rPr>
      <w:rFonts w:asciiTheme="majorHAnsi" w:eastAsiaTheme="majorEastAsia" w:hAnsiTheme="majorHAnsi" w:cstheme="majorBidi"/>
      <w:color w:val="2F5496" w:themeColor="accent1" w:themeShade="BF"/>
      <w:sz w:val="26"/>
      <w:szCs w:val="26"/>
    </w:rPr>
  </w:style>
  <w:style w:type="character" w:customStyle="1" w:styleId="aqj">
    <w:name w:val="aqj"/>
    <w:basedOn w:val="DefaultParagraphFont"/>
    <w:rsid w:val="00C13C73"/>
  </w:style>
  <w:style w:type="character" w:styleId="HTMLCite">
    <w:name w:val="HTML Cite"/>
    <w:rsid w:val="00C13C73"/>
    <w:rPr>
      <w:i/>
      <w:iCs/>
    </w:rPr>
  </w:style>
  <w:style w:type="character" w:customStyle="1" w:styleId="mw-page-title-main">
    <w:name w:val="mw-page-title-main"/>
    <w:basedOn w:val="DefaultParagraphFont"/>
    <w:rsid w:val="007F3FB1"/>
  </w:style>
  <w:style w:type="character" w:styleId="FootnoteReference">
    <w:name w:val="footnote reference"/>
    <w:basedOn w:val="DefaultParagraphFont"/>
    <w:uiPriority w:val="99"/>
    <w:semiHidden/>
    <w:unhideWhenUsed/>
    <w:rsid w:val="00073964"/>
    <w:rPr>
      <w:vertAlign w:val="superscript"/>
    </w:rPr>
  </w:style>
  <w:style w:type="paragraph" w:styleId="FootnoteText">
    <w:name w:val="footnote text"/>
    <w:basedOn w:val="Normal"/>
    <w:link w:val="FootnoteTextChar"/>
    <w:uiPriority w:val="99"/>
    <w:semiHidden/>
    <w:unhideWhenUsed/>
    <w:rsid w:val="00756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731"/>
    <w:rPr>
      <w:sz w:val="20"/>
      <w:szCs w:val="20"/>
    </w:rPr>
  </w:style>
  <w:style w:type="paragraph" w:customStyle="1" w:styleId="Default">
    <w:name w:val="Default"/>
    <w:rsid w:val="00A97689"/>
    <w:pPr>
      <w:autoSpaceDE w:val="0"/>
      <w:autoSpaceDN w:val="0"/>
      <w:adjustRightInd w:val="0"/>
      <w:spacing w:after="0" w:line="240" w:lineRule="auto"/>
    </w:pPr>
    <w:rPr>
      <w:rFonts w:ascii="Helvetica LT Pro" w:hAnsi="Helvetica LT Pro" w:cs="Helvetica LT Pro"/>
      <w:color w:val="000000"/>
      <w:sz w:val="24"/>
      <w:szCs w:val="24"/>
    </w:rPr>
  </w:style>
  <w:style w:type="character" w:customStyle="1" w:styleId="opt-publisher">
    <w:name w:val="opt-publisher"/>
    <w:basedOn w:val="DefaultParagraphFont"/>
    <w:rsid w:val="006E3C74"/>
  </w:style>
  <w:style w:type="character" w:customStyle="1" w:styleId="opt-publish-date">
    <w:name w:val="opt-publish-date"/>
    <w:basedOn w:val="DefaultParagraphFont"/>
    <w:rsid w:val="006E3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797">
      <w:bodyDiv w:val="1"/>
      <w:marLeft w:val="0"/>
      <w:marRight w:val="0"/>
      <w:marTop w:val="0"/>
      <w:marBottom w:val="0"/>
      <w:divBdr>
        <w:top w:val="none" w:sz="0" w:space="0" w:color="auto"/>
        <w:left w:val="none" w:sz="0" w:space="0" w:color="auto"/>
        <w:bottom w:val="none" w:sz="0" w:space="0" w:color="auto"/>
        <w:right w:val="none" w:sz="0" w:space="0" w:color="auto"/>
      </w:divBdr>
    </w:div>
    <w:div w:id="954556503">
      <w:bodyDiv w:val="1"/>
      <w:marLeft w:val="0"/>
      <w:marRight w:val="0"/>
      <w:marTop w:val="0"/>
      <w:marBottom w:val="0"/>
      <w:divBdr>
        <w:top w:val="none" w:sz="0" w:space="0" w:color="auto"/>
        <w:left w:val="none" w:sz="0" w:space="0" w:color="auto"/>
        <w:bottom w:val="none" w:sz="0" w:space="0" w:color="auto"/>
        <w:right w:val="none" w:sz="0" w:space="0" w:color="auto"/>
      </w:divBdr>
    </w:div>
    <w:div w:id="1129250874">
      <w:bodyDiv w:val="1"/>
      <w:marLeft w:val="0"/>
      <w:marRight w:val="0"/>
      <w:marTop w:val="0"/>
      <w:marBottom w:val="0"/>
      <w:divBdr>
        <w:top w:val="none" w:sz="0" w:space="0" w:color="auto"/>
        <w:left w:val="none" w:sz="0" w:space="0" w:color="auto"/>
        <w:bottom w:val="none" w:sz="0" w:space="0" w:color="auto"/>
        <w:right w:val="none" w:sz="0" w:space="0" w:color="auto"/>
      </w:divBdr>
    </w:div>
    <w:div w:id="1627199726">
      <w:bodyDiv w:val="1"/>
      <w:marLeft w:val="0"/>
      <w:marRight w:val="0"/>
      <w:marTop w:val="0"/>
      <w:marBottom w:val="0"/>
      <w:divBdr>
        <w:top w:val="none" w:sz="0" w:space="0" w:color="auto"/>
        <w:left w:val="none" w:sz="0" w:space="0" w:color="auto"/>
        <w:bottom w:val="none" w:sz="0" w:space="0" w:color="auto"/>
        <w:right w:val="none" w:sz="0" w:space="0" w:color="auto"/>
      </w:divBdr>
      <w:divsChild>
        <w:div w:id="139395418">
          <w:marLeft w:val="0"/>
          <w:marRight w:val="0"/>
          <w:marTop w:val="0"/>
          <w:marBottom w:val="0"/>
          <w:divBdr>
            <w:top w:val="none" w:sz="0" w:space="0" w:color="auto"/>
            <w:left w:val="none" w:sz="0" w:space="0" w:color="auto"/>
            <w:bottom w:val="none" w:sz="0" w:space="0" w:color="auto"/>
            <w:right w:val="none" w:sz="0" w:space="0" w:color="auto"/>
          </w:divBdr>
        </w:div>
        <w:div w:id="288240863">
          <w:marLeft w:val="0"/>
          <w:marRight w:val="0"/>
          <w:marTop w:val="0"/>
          <w:marBottom w:val="0"/>
          <w:divBdr>
            <w:top w:val="none" w:sz="0" w:space="0" w:color="auto"/>
            <w:left w:val="none" w:sz="0" w:space="0" w:color="auto"/>
            <w:bottom w:val="none" w:sz="0" w:space="0" w:color="auto"/>
            <w:right w:val="none" w:sz="0" w:space="0" w:color="auto"/>
          </w:divBdr>
        </w:div>
        <w:div w:id="783420858">
          <w:marLeft w:val="0"/>
          <w:marRight w:val="0"/>
          <w:marTop w:val="0"/>
          <w:marBottom w:val="0"/>
          <w:divBdr>
            <w:top w:val="none" w:sz="0" w:space="0" w:color="auto"/>
            <w:left w:val="none" w:sz="0" w:space="0" w:color="auto"/>
            <w:bottom w:val="none" w:sz="0" w:space="0" w:color="auto"/>
            <w:right w:val="none" w:sz="0" w:space="0" w:color="auto"/>
          </w:divBdr>
        </w:div>
        <w:div w:id="838500041">
          <w:marLeft w:val="0"/>
          <w:marRight w:val="0"/>
          <w:marTop w:val="0"/>
          <w:marBottom w:val="0"/>
          <w:divBdr>
            <w:top w:val="none" w:sz="0" w:space="0" w:color="auto"/>
            <w:left w:val="none" w:sz="0" w:space="0" w:color="auto"/>
            <w:bottom w:val="none" w:sz="0" w:space="0" w:color="auto"/>
            <w:right w:val="none" w:sz="0" w:space="0" w:color="auto"/>
          </w:divBdr>
        </w:div>
        <w:div w:id="851723701">
          <w:marLeft w:val="0"/>
          <w:marRight w:val="0"/>
          <w:marTop w:val="0"/>
          <w:marBottom w:val="0"/>
          <w:divBdr>
            <w:top w:val="none" w:sz="0" w:space="0" w:color="auto"/>
            <w:left w:val="none" w:sz="0" w:space="0" w:color="auto"/>
            <w:bottom w:val="none" w:sz="0" w:space="0" w:color="auto"/>
            <w:right w:val="none" w:sz="0" w:space="0" w:color="auto"/>
          </w:divBdr>
        </w:div>
        <w:div w:id="1371762639">
          <w:marLeft w:val="0"/>
          <w:marRight w:val="0"/>
          <w:marTop w:val="0"/>
          <w:marBottom w:val="0"/>
          <w:divBdr>
            <w:top w:val="none" w:sz="0" w:space="0" w:color="auto"/>
            <w:left w:val="none" w:sz="0" w:space="0" w:color="auto"/>
            <w:bottom w:val="none" w:sz="0" w:space="0" w:color="auto"/>
            <w:right w:val="none" w:sz="0" w:space="0" w:color="auto"/>
          </w:divBdr>
        </w:div>
        <w:div w:id="1372924368">
          <w:marLeft w:val="0"/>
          <w:marRight w:val="0"/>
          <w:marTop w:val="0"/>
          <w:marBottom w:val="0"/>
          <w:divBdr>
            <w:top w:val="none" w:sz="0" w:space="0" w:color="auto"/>
            <w:left w:val="none" w:sz="0" w:space="0" w:color="auto"/>
            <w:bottom w:val="none" w:sz="0" w:space="0" w:color="auto"/>
            <w:right w:val="none" w:sz="0" w:space="0" w:color="auto"/>
          </w:divBdr>
        </w:div>
        <w:div w:id="1375884065">
          <w:marLeft w:val="0"/>
          <w:marRight w:val="0"/>
          <w:marTop w:val="0"/>
          <w:marBottom w:val="0"/>
          <w:divBdr>
            <w:top w:val="none" w:sz="0" w:space="0" w:color="auto"/>
            <w:left w:val="none" w:sz="0" w:space="0" w:color="auto"/>
            <w:bottom w:val="none" w:sz="0" w:space="0" w:color="auto"/>
            <w:right w:val="none" w:sz="0" w:space="0" w:color="auto"/>
          </w:divBdr>
        </w:div>
        <w:div w:id="1555701094">
          <w:marLeft w:val="0"/>
          <w:marRight w:val="0"/>
          <w:marTop w:val="0"/>
          <w:marBottom w:val="0"/>
          <w:divBdr>
            <w:top w:val="none" w:sz="0" w:space="0" w:color="auto"/>
            <w:left w:val="none" w:sz="0" w:space="0" w:color="auto"/>
            <w:bottom w:val="none" w:sz="0" w:space="0" w:color="auto"/>
            <w:right w:val="none" w:sz="0" w:space="0" w:color="auto"/>
          </w:divBdr>
        </w:div>
        <w:div w:id="1972443158">
          <w:marLeft w:val="0"/>
          <w:marRight w:val="0"/>
          <w:marTop w:val="0"/>
          <w:marBottom w:val="0"/>
          <w:divBdr>
            <w:top w:val="none" w:sz="0" w:space="0" w:color="auto"/>
            <w:left w:val="none" w:sz="0" w:space="0" w:color="auto"/>
            <w:bottom w:val="none" w:sz="0" w:space="0" w:color="auto"/>
            <w:right w:val="none" w:sz="0" w:space="0" w:color="auto"/>
          </w:divBdr>
        </w:div>
      </w:divsChild>
    </w:div>
    <w:div w:id="1693913476">
      <w:bodyDiv w:val="1"/>
      <w:marLeft w:val="0"/>
      <w:marRight w:val="0"/>
      <w:marTop w:val="0"/>
      <w:marBottom w:val="0"/>
      <w:divBdr>
        <w:top w:val="none" w:sz="0" w:space="0" w:color="auto"/>
        <w:left w:val="none" w:sz="0" w:space="0" w:color="auto"/>
        <w:bottom w:val="none" w:sz="0" w:space="0" w:color="auto"/>
        <w:right w:val="none" w:sz="0" w:space="0" w:color="auto"/>
      </w:divBdr>
      <w:divsChild>
        <w:div w:id="1495491239">
          <w:marLeft w:val="0"/>
          <w:marRight w:val="0"/>
          <w:marTop w:val="0"/>
          <w:marBottom w:val="0"/>
          <w:divBdr>
            <w:top w:val="none" w:sz="0" w:space="0" w:color="auto"/>
            <w:left w:val="none" w:sz="0" w:space="0" w:color="auto"/>
            <w:bottom w:val="none" w:sz="0" w:space="0" w:color="auto"/>
            <w:right w:val="none" w:sz="0" w:space="0" w:color="auto"/>
          </w:divBdr>
        </w:div>
        <w:div w:id="1025061947">
          <w:marLeft w:val="0"/>
          <w:marRight w:val="0"/>
          <w:marTop w:val="0"/>
          <w:marBottom w:val="0"/>
          <w:divBdr>
            <w:top w:val="none" w:sz="0" w:space="0" w:color="auto"/>
            <w:left w:val="none" w:sz="0" w:space="0" w:color="auto"/>
            <w:bottom w:val="none" w:sz="0" w:space="0" w:color="auto"/>
            <w:right w:val="none" w:sz="0" w:space="0" w:color="auto"/>
          </w:divBdr>
        </w:div>
      </w:divsChild>
    </w:div>
    <w:div w:id="1834762838">
      <w:bodyDiv w:val="1"/>
      <w:marLeft w:val="0"/>
      <w:marRight w:val="0"/>
      <w:marTop w:val="0"/>
      <w:marBottom w:val="0"/>
      <w:divBdr>
        <w:top w:val="none" w:sz="0" w:space="0" w:color="auto"/>
        <w:left w:val="none" w:sz="0" w:space="0" w:color="auto"/>
        <w:bottom w:val="none" w:sz="0" w:space="0" w:color="auto"/>
        <w:right w:val="none" w:sz="0" w:space="0" w:color="auto"/>
      </w:divBdr>
      <w:divsChild>
        <w:div w:id="1662542066">
          <w:marLeft w:val="0"/>
          <w:marRight w:val="0"/>
          <w:marTop w:val="0"/>
          <w:marBottom w:val="0"/>
          <w:divBdr>
            <w:top w:val="none" w:sz="0" w:space="0" w:color="auto"/>
            <w:left w:val="none" w:sz="0" w:space="0" w:color="auto"/>
            <w:bottom w:val="none" w:sz="0" w:space="0" w:color="auto"/>
            <w:right w:val="none" w:sz="0" w:space="0" w:color="auto"/>
          </w:divBdr>
        </w:div>
        <w:div w:id="9774921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vcoatsndschair@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ger@rogerbenda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groups/14435029527606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s-salem.org/" TargetMode="External"/><Relationship Id="rId5" Type="http://schemas.openxmlformats.org/officeDocument/2006/relationships/webSettings" Target="webSettings.xml"/><Relationship Id="rId15" Type="http://schemas.openxmlformats.org/officeDocument/2006/relationships/hyperlink" Target="https://navaldockyards.or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navaldockyards.org/confer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F93F-AB76-407C-BF72-2B2CB2F70ABC}">
  <ds:schemaRefs>
    <ds:schemaRef ds:uri="http://schemas.openxmlformats.org/officeDocument/2006/bibliography"/>
  </ds:schemaRefs>
</ds:datastoreItem>
</file>

<file path=docMetadata/LabelInfo.xml><?xml version="1.0" encoding="utf-8"?>
<clbl:labelList xmlns:clbl="http://schemas.microsoft.com/office/2020/mipLabelMetadata">
  <clbl:label id="{16a39d52-ddb4-492a-a430-d91f65b7c553}" enabled="1" method="Standard" siteId="{4a3454a0-8cf4-4a9c-b1c0-6ce4d1495f8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1857</Words>
  <Characters>11904</Characters>
  <Application>Microsoft Office Word</Application>
  <DocSecurity>0</DocSecurity>
  <Lines>234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Ann Coats</dc:creator>
  <cp:keywords/>
  <dc:description/>
  <cp:lastModifiedBy>Sanger, Louise</cp:lastModifiedBy>
  <cp:revision>3</cp:revision>
  <cp:lastPrinted>2022-12-19T14:31:00Z</cp:lastPrinted>
  <dcterms:created xsi:type="dcterms:W3CDTF">2026-01-05T09:28:00Z</dcterms:created>
  <dcterms:modified xsi:type="dcterms:W3CDTF">2026-01-05T09:29:00Z</dcterms:modified>
</cp:coreProperties>
</file>